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F033" w14:textId="516B7036" w:rsidR="00097A2B" w:rsidRDefault="00097A2B"/>
    <w:p w14:paraId="21BCB517" w14:textId="5F7BF54A" w:rsidR="0064669A" w:rsidRPr="0064669A" w:rsidRDefault="0064669A">
      <w:pPr>
        <w:rPr>
          <w:sz w:val="36"/>
          <w:szCs w:val="36"/>
        </w:rPr>
      </w:pPr>
    </w:p>
    <w:p w14:paraId="317E1218" w14:textId="6ED0E75C" w:rsidR="0064669A" w:rsidRPr="0064669A" w:rsidRDefault="0064669A">
      <w:pPr>
        <w:rPr>
          <w:rStyle w:val="lev"/>
          <w:rFonts w:ascii="Cardo" w:hAnsi="Cardo"/>
          <w:color w:val="28318F"/>
          <w:sz w:val="42"/>
          <w:szCs w:val="48"/>
        </w:rPr>
      </w:pPr>
      <w:r w:rsidRPr="0064669A">
        <w:rPr>
          <w:rStyle w:val="lev"/>
          <w:rFonts w:ascii="Cardo" w:hAnsi="Cardo"/>
          <w:color w:val="28318F"/>
          <w:sz w:val="30"/>
          <w:szCs w:val="36"/>
        </w:rPr>
        <w:t>FISCAL ... taxe et redevances immobilières</w:t>
      </w:r>
    </w:p>
    <w:p w14:paraId="5F48AA6F" w14:textId="01BF4177" w:rsidR="0064669A" w:rsidRDefault="0064669A">
      <w:pPr>
        <w:rPr>
          <w:rStyle w:val="lev"/>
          <w:rFonts w:ascii="Cardo" w:hAnsi="Cardo"/>
          <w:color w:val="28318F"/>
          <w:sz w:val="36"/>
          <w:szCs w:val="36"/>
        </w:rPr>
      </w:pPr>
    </w:p>
    <w:p w14:paraId="073E721D" w14:textId="689E39F4" w:rsidR="0064669A" w:rsidRPr="0064669A" w:rsidRDefault="0064669A" w:rsidP="0064669A">
      <w:pPr>
        <w:spacing w:after="330"/>
        <w:outlineLvl w:val="1"/>
        <w:rPr>
          <w:rFonts w:ascii="Arial" w:eastAsia="Times New Roman" w:hAnsi="Arial" w:cs="Arial"/>
          <w:color w:val="EB6A27"/>
          <w:sz w:val="36"/>
          <w:szCs w:val="36"/>
          <w:lang w:eastAsia="fr-FR"/>
        </w:rPr>
      </w:pPr>
      <w:r>
        <w:rPr>
          <w:rFonts w:ascii="Arial" w:eastAsia="Times New Roman" w:hAnsi="Arial" w:cs="Arial"/>
          <w:color w:val="EB6A27"/>
          <w:sz w:val="36"/>
          <w:szCs w:val="36"/>
          <w:lang w:eastAsia="fr-FR"/>
        </w:rPr>
        <w:t>L</w:t>
      </w:r>
      <w:r w:rsidRPr="0064669A">
        <w:rPr>
          <w:rFonts w:ascii="Arial" w:eastAsia="Times New Roman" w:hAnsi="Arial" w:cs="Arial"/>
          <w:color w:val="EB6A27"/>
          <w:sz w:val="36"/>
          <w:szCs w:val="36"/>
          <w:lang w:eastAsia="fr-FR"/>
        </w:rPr>
        <w:t>e nouveau rescrit taxe d'aménagement</w:t>
      </w:r>
    </w:p>
    <w:p w14:paraId="5EC44DC4" w14:textId="7928BC69" w:rsidR="0064669A" w:rsidRPr="0064669A" w:rsidRDefault="0064669A" w:rsidP="0064669A">
      <w:pPr>
        <w:spacing w:after="330"/>
        <w:outlineLvl w:val="1"/>
        <w:rPr>
          <w:rFonts w:ascii="Arial" w:hAnsi="Arial" w:cs="Arial"/>
          <w:color w:val="28318F"/>
          <w:shd w:val="clear" w:color="auto" w:fill="FFFFFF"/>
        </w:rPr>
      </w:pPr>
      <w:r w:rsidRPr="0064669A">
        <w:rPr>
          <w:rFonts w:ascii="Arial" w:hAnsi="Arial" w:cs="Arial"/>
          <w:color w:val="28318F"/>
          <w:shd w:val="clear" w:color="auto" w:fill="FFFFFF"/>
        </w:rPr>
        <w:t>Les</w:t>
      </w:r>
      <w:r w:rsidRPr="0064669A">
        <w:rPr>
          <w:rFonts w:ascii="Arial" w:hAnsi="Arial" w:cs="Arial"/>
          <w:color w:val="28318F"/>
          <w:shd w:val="clear" w:color="auto" w:fill="FFFFFF"/>
        </w:rPr>
        <w:t xml:space="preserve"> modalités de mise en </w:t>
      </w:r>
      <w:r w:rsidRPr="0064669A">
        <w:rPr>
          <w:rFonts w:ascii="Arial" w:hAnsi="Arial" w:cs="Arial"/>
          <w:color w:val="28318F"/>
          <w:shd w:val="clear" w:color="auto" w:fill="FFFFFF"/>
        </w:rPr>
        <w:t>œuvre</w:t>
      </w:r>
      <w:r w:rsidRPr="0064669A">
        <w:rPr>
          <w:rFonts w:ascii="Arial" w:hAnsi="Arial" w:cs="Arial"/>
          <w:color w:val="28318F"/>
          <w:shd w:val="clear" w:color="auto" w:fill="FFFFFF"/>
        </w:rPr>
        <w:t xml:space="preserve"> de la procédure de rescrit pour les projets supérieurs à 50 000 m2 sont fixées.</w:t>
      </w:r>
    </w:p>
    <w:p w14:paraId="1CAA5FC8" w14:textId="486C5B99" w:rsidR="0064669A" w:rsidRPr="0064669A" w:rsidRDefault="0064669A" w:rsidP="0064669A">
      <w:pPr>
        <w:spacing w:after="330"/>
        <w:outlineLvl w:val="1"/>
        <w:rPr>
          <w:rStyle w:val="lev"/>
          <w:rFonts w:ascii="Arial" w:hAnsi="Arial" w:cs="Arial"/>
          <w:color w:val="28318F"/>
          <w:sz w:val="21"/>
          <w:szCs w:val="21"/>
        </w:rPr>
      </w:pPr>
      <w:r w:rsidRPr="0064669A">
        <w:rPr>
          <w:rFonts w:ascii="Arial" w:hAnsi="Arial" w:cs="Arial"/>
          <w:color w:val="283191"/>
          <w:sz w:val="21"/>
          <w:szCs w:val="21"/>
        </w:rPr>
        <w:t>Décret 2022-1344 du 21-10-2022</w:t>
      </w:r>
      <w:r w:rsidRPr="0064669A">
        <w:rPr>
          <w:rFonts w:ascii="Arial" w:hAnsi="Arial" w:cs="Arial"/>
          <w:color w:val="28318F"/>
          <w:sz w:val="21"/>
          <w:szCs w:val="21"/>
        </w:rPr>
        <w:br/>
      </w:r>
      <w:r w:rsidRPr="0064669A">
        <w:rPr>
          <w:rFonts w:ascii="Arial" w:hAnsi="Arial" w:cs="Arial"/>
          <w:color w:val="28318F"/>
          <w:sz w:val="21"/>
          <w:szCs w:val="21"/>
          <w:shd w:val="clear" w:color="auto" w:fill="FFFFFF"/>
        </w:rPr>
        <w:t>Par </w:t>
      </w:r>
      <w:r w:rsidRPr="0064669A">
        <w:rPr>
          <w:rStyle w:val="lev"/>
          <w:rFonts w:ascii="Arial" w:hAnsi="Arial" w:cs="Arial"/>
          <w:color w:val="28318F"/>
          <w:sz w:val="21"/>
          <w:szCs w:val="21"/>
        </w:rPr>
        <w:t>Sophie GINOUX</w:t>
      </w:r>
    </w:p>
    <w:p w14:paraId="0002E868" w14:textId="0AB67484" w:rsidR="0064669A" w:rsidRDefault="0064669A" w:rsidP="0064669A">
      <w:pPr>
        <w:spacing w:after="330"/>
        <w:outlineLvl w:val="1"/>
      </w:pPr>
      <w:r>
        <w:fldChar w:fldCharType="begin"/>
      </w:r>
      <w:r>
        <w:instrText xml:space="preserve"> INCLUDEPICTURE "/Users/mairadicoh/Library/Group Containers/UBF8T346G9.ms/WebArchiveCopyPasteTempFiles/com.microsoft.Word/fiscal01-12_orig.jpg" \* MERGEFORMATINET </w:instrText>
      </w:r>
      <w:r>
        <w:fldChar w:fldCharType="separate"/>
      </w:r>
      <w:r>
        <w:rPr>
          <w:noProof/>
        </w:rPr>
        <w:drawing>
          <wp:inline distT="0" distB="0" distL="0" distR="0" wp14:anchorId="449A63B5" wp14:editId="1A508A33">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fldChar w:fldCharType="end"/>
      </w:r>
    </w:p>
    <w:p w14:paraId="14A09385" w14:textId="3DB842C4" w:rsidR="0064669A" w:rsidRPr="0064669A" w:rsidRDefault="0064669A" w:rsidP="0064669A">
      <w:pPr>
        <w:spacing w:after="330"/>
        <w:outlineLvl w:val="1"/>
        <w:rPr>
          <w:rFonts w:ascii="Arial" w:eastAsia="Times New Roman" w:hAnsi="Arial" w:cs="Arial"/>
          <w:color w:val="000000" w:themeColor="text1"/>
          <w:sz w:val="20"/>
          <w:szCs w:val="20"/>
          <w:lang w:eastAsia="fr-FR"/>
        </w:rPr>
      </w:pPr>
      <w:r w:rsidRPr="0064669A">
        <w:rPr>
          <w:rFonts w:ascii="Arial" w:eastAsia="Times New Roman" w:hAnsi="Arial" w:cs="Arial"/>
          <w:color w:val="000000" w:themeColor="text1"/>
          <w:sz w:val="20"/>
          <w:szCs w:val="20"/>
          <w:lang w:eastAsia="fr-FR"/>
        </w:rPr>
        <w:t>Publié le 01/12/2022</w:t>
      </w:r>
      <w:r>
        <w:rPr>
          <w:rFonts w:ascii="Arial" w:eastAsia="Times New Roman" w:hAnsi="Arial" w:cs="Arial"/>
          <w:color w:val="000000" w:themeColor="text1"/>
          <w:sz w:val="20"/>
          <w:szCs w:val="20"/>
          <w:lang w:eastAsia="fr-FR"/>
        </w:rPr>
        <w:t xml:space="preserve"> </w:t>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Pr>
          <w:rFonts w:ascii="Arial" w:eastAsia="Times New Roman" w:hAnsi="Arial" w:cs="Arial"/>
          <w:color w:val="000000" w:themeColor="text1"/>
          <w:sz w:val="20"/>
          <w:szCs w:val="20"/>
          <w:lang w:eastAsia="fr-FR"/>
        </w:rPr>
        <w:tab/>
      </w:r>
      <w:r w:rsidRPr="0064669A">
        <w:rPr>
          <w:rFonts w:ascii="Arial" w:eastAsia="Times New Roman" w:hAnsi="Arial" w:cs="Arial"/>
          <w:color w:val="000000" w:themeColor="text1"/>
          <w:sz w:val="20"/>
          <w:szCs w:val="20"/>
          <w:lang w:eastAsia="fr-FR"/>
        </w:rPr>
        <w:t>©</w:t>
      </w:r>
      <w:proofErr w:type="spellStart"/>
      <w:r w:rsidRPr="0064669A">
        <w:rPr>
          <w:rFonts w:ascii="Arial" w:eastAsia="Times New Roman" w:hAnsi="Arial" w:cs="Arial"/>
          <w:color w:val="000000" w:themeColor="text1"/>
          <w:sz w:val="20"/>
          <w:szCs w:val="20"/>
          <w:lang w:eastAsia="fr-FR"/>
        </w:rPr>
        <w:t>Gettyimages</w:t>
      </w:r>
      <w:proofErr w:type="spellEnd"/>
    </w:p>
    <w:p w14:paraId="11B7DB48" w14:textId="77777777" w:rsidR="0064669A" w:rsidRPr="0064669A" w:rsidRDefault="0064669A" w:rsidP="0064669A">
      <w:pPr>
        <w:rPr>
          <w:rFonts w:ascii="Times New Roman" w:eastAsia="Times New Roman" w:hAnsi="Times New Roman" w:cs="Times New Roman"/>
          <w:sz w:val="22"/>
          <w:szCs w:val="22"/>
          <w:lang w:eastAsia="fr-FR"/>
        </w:rPr>
      </w:pPr>
      <w:r w:rsidRPr="0064669A">
        <w:rPr>
          <w:rFonts w:ascii="Arial" w:eastAsia="Times New Roman" w:hAnsi="Arial" w:cs="Arial"/>
          <w:color w:val="293291"/>
          <w:sz w:val="22"/>
          <w:szCs w:val="22"/>
          <w:lang w:eastAsia="fr-FR"/>
        </w:rPr>
        <w:t>La gestion de la taxe d’aménagement est transférée des services de l’urbanisme à ceux de la DGFiP depuis le 1er septembre 2022. L’ordonnance 2022-883 du 14 juin 2022, qui a défini le cadre normatif de ce transfert, a modifié la procédure de rescrit concernant les projets supérieurs à 50 000 m2, désormais codifiée à l’</w:t>
      </w:r>
      <w:hyperlink r:id="rId6" w:tgtFrame="_blank" w:history="1">
        <w:r w:rsidRPr="0064669A">
          <w:rPr>
            <w:rFonts w:ascii="Arial" w:eastAsia="Times New Roman" w:hAnsi="Arial" w:cs="Arial"/>
            <w:color w:val="121212"/>
            <w:sz w:val="22"/>
            <w:szCs w:val="22"/>
            <w:u w:val="single"/>
            <w:lang w:eastAsia="fr-FR"/>
          </w:rPr>
          <w:t>article L 80 B, 13° du LPF</w:t>
        </w:r>
      </w:hyperlink>
      <w:r w:rsidRPr="0064669A">
        <w:rPr>
          <w:rFonts w:ascii="Arial" w:eastAsia="Times New Roman" w:hAnsi="Arial" w:cs="Arial"/>
          <w:color w:val="293291"/>
          <w:sz w:val="22"/>
          <w:szCs w:val="22"/>
          <w:lang w:eastAsia="fr-FR"/>
        </w:rPr>
        <w:t>, et dont les modalités d’application doivent être fixées par décret. </w:t>
      </w:r>
      <w:r w:rsidRPr="0064669A">
        <w:rPr>
          <w:rFonts w:ascii="Arial" w:eastAsia="Times New Roman" w:hAnsi="Arial" w:cs="Arial"/>
          <w:color w:val="28318F"/>
          <w:sz w:val="22"/>
          <w:szCs w:val="22"/>
          <w:lang w:eastAsia="fr-FR"/>
        </w:rPr>
        <w:br/>
      </w: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A la différence de la précédente procédure de rescrit, la demande doit être adressée à l’administration fiscale (au lieu du service chargé de l’urbanisme) et l’accord de l’administration devient tacite si elle n’a pas répondu dans un délai de 3 mois (en lieu et place de l’obligation de fournir une réponse motivée dans un délai de 3 mois).</w:t>
      </w:r>
      <w:r w:rsidRPr="0064669A">
        <w:rPr>
          <w:rFonts w:ascii="Arial" w:eastAsia="Times New Roman" w:hAnsi="Arial" w:cs="Arial"/>
          <w:color w:val="28318F"/>
          <w:sz w:val="22"/>
          <w:szCs w:val="22"/>
          <w:lang w:eastAsia="fr-FR"/>
        </w:rPr>
        <w:br/>
      </w: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 xml:space="preserve">Le décret 2022-1344 du 21 octobre 2022, qui est entré en vigueur le 24 octobre 2022, détermine les modalités de mise en </w:t>
      </w:r>
      <w:proofErr w:type="spellStart"/>
      <w:r w:rsidRPr="0064669A">
        <w:rPr>
          <w:rFonts w:ascii="Arial" w:eastAsia="Times New Roman" w:hAnsi="Arial" w:cs="Arial"/>
          <w:color w:val="293291"/>
          <w:sz w:val="22"/>
          <w:szCs w:val="22"/>
          <w:lang w:eastAsia="fr-FR"/>
        </w:rPr>
        <w:t>oeuvre</w:t>
      </w:r>
      <w:proofErr w:type="spellEnd"/>
      <w:r w:rsidRPr="0064669A">
        <w:rPr>
          <w:rFonts w:ascii="Arial" w:eastAsia="Times New Roman" w:hAnsi="Arial" w:cs="Arial"/>
          <w:color w:val="293291"/>
          <w:sz w:val="22"/>
          <w:szCs w:val="22"/>
          <w:lang w:eastAsia="fr-FR"/>
        </w:rPr>
        <w:t> de cette procédure de rescrit dans trois nouveaux articles du LPF (</w:t>
      </w:r>
      <w:hyperlink r:id="rId7" w:tgtFrame="_blank" w:history="1">
        <w:r w:rsidRPr="0064669A">
          <w:rPr>
            <w:rFonts w:ascii="Arial" w:eastAsia="Times New Roman" w:hAnsi="Arial" w:cs="Arial"/>
            <w:color w:val="121212"/>
            <w:sz w:val="22"/>
            <w:szCs w:val="22"/>
            <w:u w:val="single"/>
            <w:lang w:eastAsia="fr-FR"/>
          </w:rPr>
          <w:t>art. R* 80 B-17</w:t>
        </w:r>
      </w:hyperlink>
      <w:r w:rsidRPr="0064669A">
        <w:rPr>
          <w:rFonts w:ascii="Arial" w:eastAsia="Times New Roman" w:hAnsi="Arial" w:cs="Arial"/>
          <w:color w:val="293291"/>
          <w:sz w:val="22"/>
          <w:szCs w:val="22"/>
          <w:lang w:eastAsia="fr-FR"/>
        </w:rPr>
        <w:t> à </w:t>
      </w:r>
      <w:hyperlink r:id="rId8" w:tgtFrame="_blank" w:history="1">
        <w:r w:rsidRPr="0064669A">
          <w:rPr>
            <w:rFonts w:ascii="Arial" w:eastAsia="Times New Roman" w:hAnsi="Arial" w:cs="Arial"/>
            <w:color w:val="121212"/>
            <w:sz w:val="22"/>
            <w:szCs w:val="22"/>
            <w:u w:val="single"/>
            <w:lang w:eastAsia="fr-FR"/>
          </w:rPr>
          <w:t>R* 80 B-19</w:t>
        </w:r>
      </w:hyperlink>
      <w:r w:rsidRPr="0064669A">
        <w:rPr>
          <w:rFonts w:ascii="Arial" w:eastAsia="Times New Roman" w:hAnsi="Arial" w:cs="Arial"/>
          <w:color w:val="293291"/>
          <w:sz w:val="22"/>
          <w:szCs w:val="22"/>
          <w:lang w:eastAsia="fr-FR"/>
        </w:rPr>
        <w:t>).</w:t>
      </w:r>
      <w:r w:rsidRPr="0064669A">
        <w:rPr>
          <w:rFonts w:ascii="Arial" w:eastAsia="Times New Roman" w:hAnsi="Arial" w:cs="Arial"/>
          <w:color w:val="28318F"/>
          <w:sz w:val="22"/>
          <w:szCs w:val="22"/>
          <w:lang w:eastAsia="fr-FR"/>
        </w:rPr>
        <w:br/>
      </w: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La demande de prise formelle de position de l’administration doit contenir une présentation écrite, précise et complète des travaux envisagés et indiquer :</w:t>
      </w:r>
    </w:p>
    <w:p w14:paraId="55640CB5" w14:textId="77777777" w:rsidR="0064669A" w:rsidRPr="0064669A" w:rsidRDefault="0064669A" w:rsidP="0064669A">
      <w:pPr>
        <w:numPr>
          <w:ilvl w:val="0"/>
          <w:numId w:val="1"/>
        </w:numPr>
        <w:spacing w:before="45" w:after="150"/>
        <w:rPr>
          <w:rFonts w:ascii="Arial" w:eastAsia="Times New Roman" w:hAnsi="Arial" w:cs="Arial"/>
          <w:color w:val="28318F"/>
          <w:sz w:val="22"/>
          <w:szCs w:val="22"/>
          <w:lang w:eastAsia="fr-FR"/>
        </w:rPr>
      </w:pPr>
      <w:proofErr w:type="gramStart"/>
      <w:r w:rsidRPr="0064669A">
        <w:rPr>
          <w:rFonts w:ascii="Arial" w:eastAsia="Times New Roman" w:hAnsi="Arial" w:cs="Arial"/>
          <w:color w:val="293291"/>
          <w:sz w:val="22"/>
          <w:szCs w:val="22"/>
          <w:lang w:eastAsia="fr-FR"/>
        </w:rPr>
        <w:lastRenderedPageBreak/>
        <w:t>le</w:t>
      </w:r>
      <w:proofErr w:type="gramEnd"/>
      <w:r w:rsidRPr="0064669A">
        <w:rPr>
          <w:rFonts w:ascii="Arial" w:eastAsia="Times New Roman" w:hAnsi="Arial" w:cs="Arial"/>
          <w:color w:val="293291"/>
          <w:sz w:val="22"/>
          <w:szCs w:val="22"/>
          <w:lang w:eastAsia="fr-FR"/>
        </w:rPr>
        <w:t xml:space="preserve"> nom ou la raison sociale et l’adresse postale du demandeur ;</w:t>
      </w:r>
    </w:p>
    <w:p w14:paraId="7A485464" w14:textId="77777777" w:rsidR="0064669A" w:rsidRPr="0064669A" w:rsidRDefault="0064669A" w:rsidP="0064669A">
      <w:pPr>
        <w:numPr>
          <w:ilvl w:val="0"/>
          <w:numId w:val="1"/>
        </w:numPr>
        <w:spacing w:before="45" w:after="150"/>
        <w:rPr>
          <w:rFonts w:ascii="Arial" w:eastAsia="Times New Roman" w:hAnsi="Arial" w:cs="Arial"/>
          <w:color w:val="28318F"/>
          <w:sz w:val="22"/>
          <w:szCs w:val="22"/>
          <w:lang w:eastAsia="fr-FR"/>
        </w:rPr>
      </w:pPr>
      <w:proofErr w:type="gramStart"/>
      <w:r w:rsidRPr="0064669A">
        <w:rPr>
          <w:rFonts w:ascii="Arial" w:eastAsia="Times New Roman" w:hAnsi="Arial" w:cs="Arial"/>
          <w:color w:val="293291"/>
          <w:sz w:val="22"/>
          <w:szCs w:val="22"/>
          <w:lang w:eastAsia="fr-FR"/>
        </w:rPr>
        <w:t>les</w:t>
      </w:r>
      <w:proofErr w:type="gramEnd"/>
      <w:r w:rsidRPr="0064669A">
        <w:rPr>
          <w:rFonts w:ascii="Arial" w:eastAsia="Times New Roman" w:hAnsi="Arial" w:cs="Arial"/>
          <w:color w:val="293291"/>
          <w:sz w:val="22"/>
          <w:szCs w:val="22"/>
          <w:lang w:eastAsia="fr-FR"/>
        </w:rPr>
        <w:t xml:space="preserve"> références des parcelles cadastrales, préfixe, section et numéro, du ou des terrains concernés et la surface en mètres carrés constituant l’assiette taxable du projet ;</w:t>
      </w:r>
    </w:p>
    <w:p w14:paraId="43DA7BF6" w14:textId="77777777" w:rsidR="0064669A" w:rsidRPr="0064669A" w:rsidRDefault="0064669A" w:rsidP="0064669A">
      <w:pPr>
        <w:numPr>
          <w:ilvl w:val="0"/>
          <w:numId w:val="1"/>
        </w:numPr>
        <w:spacing w:before="45" w:after="150"/>
        <w:rPr>
          <w:rFonts w:ascii="Arial" w:eastAsia="Times New Roman" w:hAnsi="Arial" w:cs="Arial"/>
          <w:color w:val="28318F"/>
          <w:sz w:val="22"/>
          <w:szCs w:val="22"/>
          <w:lang w:eastAsia="fr-FR"/>
        </w:rPr>
      </w:pPr>
      <w:proofErr w:type="gramStart"/>
      <w:r w:rsidRPr="0064669A">
        <w:rPr>
          <w:rFonts w:ascii="Arial" w:eastAsia="Times New Roman" w:hAnsi="Arial" w:cs="Arial"/>
          <w:color w:val="293291"/>
          <w:sz w:val="22"/>
          <w:szCs w:val="22"/>
          <w:lang w:eastAsia="fr-FR"/>
        </w:rPr>
        <w:t>les</w:t>
      </w:r>
      <w:proofErr w:type="gramEnd"/>
      <w:r w:rsidRPr="0064669A">
        <w:rPr>
          <w:rFonts w:ascii="Arial" w:eastAsia="Times New Roman" w:hAnsi="Arial" w:cs="Arial"/>
          <w:color w:val="293291"/>
          <w:sz w:val="22"/>
          <w:szCs w:val="22"/>
          <w:lang w:eastAsia="fr-FR"/>
        </w:rPr>
        <w:t xml:space="preserve"> dispositions législatives ou réglementaires au regard desquelles le demandeur souhaite bénéficier d’une prise de position.</w:t>
      </w:r>
    </w:p>
    <w:p w14:paraId="213F1D3E" w14:textId="2FD25B1E" w:rsidR="0064669A" w:rsidRPr="0064669A" w:rsidRDefault="0064669A" w:rsidP="0064669A">
      <w:pPr>
        <w:rPr>
          <w:sz w:val="22"/>
          <w:szCs w:val="22"/>
        </w:rPr>
      </w:pP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Cette demande est adressée, par tout moyen permettant de rapporter la preuve de sa date de réception, à la direction départementale ou régionale des finances publiques dont dépend le service auprès duquel le contribuable est tenu de satisfaire ses obligations déclaratives en matière de taxe d’aménagement. Elle peut également être déposée contre remise d’un récépissé.</w:t>
      </w:r>
      <w:r w:rsidRPr="0064669A">
        <w:rPr>
          <w:rFonts w:ascii="Arial" w:eastAsia="Times New Roman" w:hAnsi="Arial" w:cs="Arial"/>
          <w:color w:val="28318F"/>
          <w:sz w:val="22"/>
          <w:szCs w:val="22"/>
          <w:lang w:eastAsia="fr-FR"/>
        </w:rPr>
        <w:br/>
      </w: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Lorsque la demande ne permet pas à l’administration de prendre position, celle-ci adresse à son auteur, par tout moyen permettant de rapporter la preuve de sa date de réception, la liste des informations complémentaires nécessaires. Ces éléments sont produits par le demandeur dans les conditions prévues à l’alinéa précédent.</w:t>
      </w:r>
      <w:r w:rsidRPr="0064669A">
        <w:rPr>
          <w:rFonts w:ascii="Arial" w:eastAsia="Times New Roman" w:hAnsi="Arial" w:cs="Arial"/>
          <w:color w:val="293291"/>
          <w:sz w:val="22"/>
          <w:szCs w:val="22"/>
          <w:lang w:eastAsia="fr-FR"/>
        </w:rPr>
        <w:br/>
      </w:r>
      <w:r w:rsidRPr="0064669A">
        <w:rPr>
          <w:rFonts w:ascii="Arial" w:eastAsia="Times New Roman" w:hAnsi="Arial" w:cs="Arial"/>
          <w:color w:val="293291"/>
          <w:sz w:val="22"/>
          <w:szCs w:val="22"/>
          <w:lang w:eastAsia="fr-FR"/>
        </w:rPr>
        <w:br/>
        <w:t>En l’absence de réponse dans le délai d’un mois à compter de la date de réception de cette demande d’informations complémentaires, la demande de prise de position formelle est réputée caduque.</w:t>
      </w:r>
      <w:r w:rsidRPr="0064669A">
        <w:rPr>
          <w:rFonts w:ascii="Arial" w:eastAsia="Times New Roman" w:hAnsi="Arial" w:cs="Arial"/>
          <w:color w:val="293291"/>
          <w:sz w:val="22"/>
          <w:szCs w:val="22"/>
          <w:lang w:eastAsia="fr-FR"/>
        </w:rPr>
        <w:br/>
        <w:t>​</w:t>
      </w:r>
      <w:r w:rsidRPr="0064669A">
        <w:rPr>
          <w:rFonts w:ascii="Arial" w:eastAsia="Times New Roman" w:hAnsi="Arial" w:cs="Arial"/>
          <w:color w:val="28318F"/>
          <w:sz w:val="22"/>
          <w:szCs w:val="22"/>
          <w:lang w:eastAsia="fr-FR"/>
        </w:rPr>
        <w:br/>
      </w:r>
      <w:r w:rsidRPr="0064669A">
        <w:rPr>
          <w:rFonts w:ascii="Arial" w:eastAsia="Times New Roman" w:hAnsi="Arial" w:cs="Arial"/>
          <w:color w:val="293291"/>
          <w:sz w:val="22"/>
          <w:szCs w:val="22"/>
          <w:lang w:eastAsia="fr-FR"/>
        </w:rPr>
        <w:t>Le délai de 3 mois, au terme duquel l'accord est considéré comme tacite faute de réponse de l'administration, court à compter de la date de réception de la demande de l’intéressé ou, si des informations complémentaires lui ont été demandées, à compter de la date de réception de ces informations. Lorsque la demande est adressée à un service incompétent, ce service la transmet sans délai au service compétent et en informe l’auteur de la demande ; dans ce cas, le délai de 3 mois court à compter de la date de réception par le service compétent.</w:t>
      </w:r>
    </w:p>
    <w:sectPr w:rsidR="0064669A" w:rsidRPr="0064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9E"/>
    <w:multiLevelType w:val="multilevel"/>
    <w:tmpl w:val="DA5A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2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9A"/>
    <w:rsid w:val="00097A2B"/>
    <w:rsid w:val="00646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5B3E02"/>
  <w15:chartTrackingRefBased/>
  <w15:docId w15:val="{110016C4-BAD2-7545-AF85-44DECB79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4669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4669A"/>
    <w:rPr>
      <w:b/>
      <w:bCs/>
    </w:rPr>
  </w:style>
  <w:style w:type="character" w:customStyle="1" w:styleId="Titre2Car">
    <w:name w:val="Titre 2 Car"/>
    <w:basedOn w:val="Policepardfaut"/>
    <w:link w:val="Titre2"/>
    <w:uiPriority w:val="9"/>
    <w:rsid w:val="0064669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4669A"/>
    <w:rPr>
      <w:color w:val="0000FF"/>
      <w:u w:val="single"/>
    </w:rPr>
  </w:style>
  <w:style w:type="character" w:customStyle="1" w:styleId="apple-converted-space">
    <w:name w:val="apple-converted-space"/>
    <w:basedOn w:val="Policepardfaut"/>
    <w:rsid w:val="0064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8210">
      <w:bodyDiv w:val="1"/>
      <w:marLeft w:val="0"/>
      <w:marRight w:val="0"/>
      <w:marTop w:val="0"/>
      <w:marBottom w:val="0"/>
      <w:divBdr>
        <w:top w:val="none" w:sz="0" w:space="0" w:color="auto"/>
        <w:left w:val="none" w:sz="0" w:space="0" w:color="auto"/>
        <w:bottom w:val="none" w:sz="0" w:space="0" w:color="auto"/>
        <w:right w:val="none" w:sz="0" w:space="0" w:color="auto"/>
      </w:divBdr>
    </w:div>
    <w:div w:id="18926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6475364/2022-11-21?init=true&amp;page=1&amp;query=r80+b-17&amp;searchField=ALL&amp;tab_selection=all" TargetMode="External"/><Relationship Id="rId3" Type="http://schemas.openxmlformats.org/officeDocument/2006/relationships/settings" Target="settings.xml"/><Relationship Id="rId7" Type="http://schemas.openxmlformats.org/officeDocument/2006/relationships/hyperlink" Target="https://www.legifrance.gouv.fr/codes/article_lc/LEGIARTI000046475360?init=true&amp;page=1&amp;query=r80+b-17&amp;searchField=ALL&amp;tab_sel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odes/article_lc/LEGIARTI000045917163?isSuggest=tru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3259</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2022-12-02T10:36:00Z</dcterms:created>
  <dcterms:modified xsi:type="dcterms:W3CDTF">2022-12-02T10:40:00Z</dcterms:modified>
</cp:coreProperties>
</file>