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0B85" w14:textId="723A0581" w:rsidR="006131CB" w:rsidRPr="00AF6289" w:rsidRDefault="006131CB">
      <w:pPr>
        <w:rPr>
          <w:sz w:val="22"/>
          <w:szCs w:val="22"/>
        </w:rPr>
      </w:pPr>
    </w:p>
    <w:p w14:paraId="36F22312" w14:textId="0238311A" w:rsidR="00AF6289" w:rsidRPr="00AF6289" w:rsidRDefault="00AF6289">
      <w:pPr>
        <w:rPr>
          <w:sz w:val="40"/>
          <w:szCs w:val="40"/>
        </w:rPr>
      </w:pPr>
    </w:p>
    <w:p w14:paraId="489FDD0C" w14:textId="0CCAE58B" w:rsidR="00AF6289" w:rsidRDefault="00AF6289" w:rsidP="00AF6289">
      <w:pPr>
        <w:rPr>
          <w:rFonts w:ascii="Cardo" w:eastAsia="Times New Roman" w:hAnsi="Cardo" w:cs="Times New Roman"/>
          <w:color w:val="28318F"/>
          <w:sz w:val="32"/>
          <w:szCs w:val="40"/>
          <w:lang w:eastAsia="fr-FR"/>
        </w:rPr>
      </w:pPr>
      <w:r w:rsidRPr="00AF6289">
        <w:rPr>
          <w:rFonts w:ascii="Cardo" w:eastAsia="Times New Roman" w:hAnsi="Cardo" w:cs="Times New Roman"/>
          <w:color w:val="28318F"/>
          <w:sz w:val="32"/>
          <w:szCs w:val="40"/>
          <w:lang w:eastAsia="fr-FR"/>
        </w:rPr>
        <w:t xml:space="preserve">AFFAIRES </w:t>
      </w:r>
      <w:r>
        <w:rPr>
          <w:rFonts w:ascii="Cardo" w:eastAsia="Times New Roman" w:hAnsi="Cardo" w:cs="Times New Roman"/>
          <w:color w:val="28318F"/>
          <w:sz w:val="32"/>
          <w:szCs w:val="40"/>
          <w:lang w:eastAsia="fr-FR"/>
        </w:rPr>
        <w:t>–</w:t>
      </w:r>
      <w:r w:rsidRPr="00AF6289">
        <w:rPr>
          <w:rFonts w:ascii="Cardo" w:eastAsia="Times New Roman" w:hAnsi="Cardo" w:cs="Times New Roman"/>
          <w:color w:val="28318F"/>
          <w:sz w:val="32"/>
          <w:szCs w:val="40"/>
          <w:lang w:eastAsia="fr-FR"/>
        </w:rPr>
        <w:t xml:space="preserve"> Crédit</w:t>
      </w:r>
    </w:p>
    <w:p w14:paraId="240CB316" w14:textId="77777777" w:rsidR="00AF6289" w:rsidRPr="00AF6289" w:rsidRDefault="00AF6289" w:rsidP="00AF6289">
      <w:pPr>
        <w:rPr>
          <w:rFonts w:ascii="Cardo" w:eastAsia="Times New Roman" w:hAnsi="Cardo" w:cs="Times New Roman"/>
          <w:color w:val="28318F"/>
          <w:sz w:val="32"/>
          <w:szCs w:val="40"/>
          <w:lang w:eastAsia="fr-FR"/>
        </w:rPr>
      </w:pPr>
    </w:p>
    <w:p w14:paraId="37EFFCE9" w14:textId="5ED4B6B9" w:rsidR="00AF6289" w:rsidRDefault="00AF6289" w:rsidP="00AF6289">
      <w:pPr>
        <w:rPr>
          <w:rFonts w:ascii="Cardo" w:eastAsia="Times New Roman" w:hAnsi="Cardo" w:cs="Times New Roman"/>
          <w:color w:val="ED7B0D"/>
          <w:sz w:val="36"/>
          <w:szCs w:val="48"/>
          <w:lang w:eastAsia="fr-FR"/>
        </w:rPr>
      </w:pPr>
      <w:r w:rsidRPr="00AF6289">
        <w:rPr>
          <w:rFonts w:ascii="Cardo" w:eastAsia="Times New Roman" w:hAnsi="Cardo" w:cs="Times New Roman"/>
          <w:color w:val="ED7B0D"/>
          <w:sz w:val="36"/>
          <w:szCs w:val="48"/>
          <w:lang w:eastAsia="fr-FR"/>
        </w:rPr>
        <w:t>Manquement du prêteur à son devoir de mise en garde : quelle indemnisation pour l’emprunteur ?</w:t>
      </w:r>
    </w:p>
    <w:p w14:paraId="2172BE03" w14:textId="77777777" w:rsidR="00AF6289" w:rsidRPr="00AF6289" w:rsidRDefault="00AF6289" w:rsidP="00AF6289">
      <w:pPr>
        <w:rPr>
          <w:rFonts w:ascii="Cardo" w:eastAsia="Times New Roman" w:hAnsi="Cardo" w:cs="Times New Roman"/>
          <w:color w:val="28318F"/>
          <w:sz w:val="36"/>
          <w:szCs w:val="48"/>
          <w:lang w:eastAsia="fr-FR"/>
        </w:rPr>
      </w:pPr>
    </w:p>
    <w:p w14:paraId="0CC65189" w14:textId="1F20FA62" w:rsidR="00AF6289" w:rsidRPr="00AF6289" w:rsidRDefault="00AF6289" w:rsidP="00AF6289">
      <w:pPr>
        <w:spacing w:line="405" w:lineRule="atLeast"/>
        <w:rPr>
          <w:rFonts w:ascii="Arial" w:eastAsia="Times New Roman" w:hAnsi="Arial" w:cs="Arial"/>
          <w:color w:val="28318F"/>
          <w:sz w:val="22"/>
          <w:szCs w:val="22"/>
          <w:lang w:eastAsia="fr-FR"/>
        </w:rPr>
      </w:pPr>
      <w:r w:rsidRPr="00AF6289">
        <w:rPr>
          <w:rFonts w:ascii="Arial" w:eastAsia="Times New Roman" w:hAnsi="Arial" w:cs="Arial"/>
          <w:color w:val="283191"/>
          <w:sz w:val="22"/>
          <w:szCs w:val="22"/>
          <w:lang w:eastAsia="fr-FR"/>
        </w:rPr>
        <w:t>Lorsque la banque ne respecte pas son devoir de mise en garde lors de l’octroi d’un prêt, l’emprunteur peut être indemnisé de la perte d’une chance de ne pas contracter mais pas de l’intégralité du gain manqué. Nouvelle illustration de ce principe.</w:t>
      </w:r>
    </w:p>
    <w:p w14:paraId="2F32B4E9" w14:textId="4F3243EA" w:rsidR="00AF6289" w:rsidRPr="00AF6289" w:rsidRDefault="00AF6289" w:rsidP="00AF6289">
      <w:pPr>
        <w:spacing w:line="405" w:lineRule="atLeast"/>
        <w:rPr>
          <w:rFonts w:ascii="Arial" w:eastAsia="Times New Roman" w:hAnsi="Arial" w:cs="Arial"/>
          <w:color w:val="28318F"/>
          <w:sz w:val="18"/>
          <w:szCs w:val="18"/>
          <w:lang w:eastAsia="fr-FR"/>
        </w:rPr>
      </w:pPr>
      <w:r w:rsidRPr="00AF6289">
        <w:rPr>
          <w:rFonts w:ascii="Arial" w:eastAsia="Times New Roman" w:hAnsi="Arial" w:cs="Arial"/>
          <w:color w:val="28318F"/>
          <w:sz w:val="18"/>
          <w:szCs w:val="18"/>
          <w:lang w:eastAsia="fr-FR"/>
        </w:rPr>
        <w:t>Cass. com. 9-11-2022 n° 21-16.030 FS-D, CCM de Cosne-sur-Loire c/ X</w:t>
      </w:r>
    </w:p>
    <w:p w14:paraId="56643854" w14:textId="77777777" w:rsidR="00AF6289" w:rsidRPr="00AF6289" w:rsidRDefault="00AF6289" w:rsidP="00AF6289">
      <w:pPr>
        <w:spacing w:line="405" w:lineRule="atLeast"/>
        <w:rPr>
          <w:rFonts w:ascii="Arial" w:eastAsia="Times New Roman" w:hAnsi="Arial" w:cs="Arial"/>
          <w:color w:val="28318F"/>
          <w:sz w:val="20"/>
          <w:szCs w:val="20"/>
          <w:lang w:eastAsia="fr-FR"/>
        </w:rPr>
      </w:pPr>
    </w:p>
    <w:p w14:paraId="475314B4" w14:textId="7D5CD9C4" w:rsidR="00AF6289" w:rsidRPr="00AF6289" w:rsidRDefault="00AF6289" w:rsidP="00AF6289">
      <w:pPr>
        <w:rPr>
          <w:rFonts w:ascii="Titillium Web" w:eastAsia="Times New Roman" w:hAnsi="Titillium Web" w:cs="Times New Roman"/>
          <w:color w:val="121212"/>
          <w:sz w:val="22"/>
          <w:szCs w:val="22"/>
          <w:lang w:eastAsia="fr-FR"/>
        </w:rPr>
      </w:pPr>
      <w:r w:rsidRPr="00AF6289">
        <w:rPr>
          <w:rFonts w:ascii="Titillium Web" w:eastAsia="Times New Roman" w:hAnsi="Titillium Web" w:cs="Times New Roman"/>
          <w:color w:val="121212"/>
          <w:sz w:val="22"/>
          <w:szCs w:val="22"/>
          <w:lang w:eastAsia="fr-FR"/>
        </w:rPr>
        <w:fldChar w:fldCharType="begin"/>
      </w:r>
      <w:r w:rsidRPr="00AF6289">
        <w:rPr>
          <w:rFonts w:ascii="Titillium Web" w:eastAsia="Times New Roman" w:hAnsi="Titillium Web" w:cs="Times New Roman"/>
          <w:color w:val="121212"/>
          <w:sz w:val="22"/>
          <w:szCs w:val="22"/>
          <w:lang w:eastAsia="fr-FR"/>
        </w:rPr>
        <w:instrText xml:space="preserve"> INCLUDEPICTURE "/Users/mairadicoh/Library/Group Containers/UBF8T346G9.ms/WebArchiveCopyPasteTempFiles/com.microsoft.Word/affaires-11-01_orig.jpg" \* MERGEFORMATINET </w:instrText>
      </w:r>
      <w:r w:rsidRPr="00AF6289">
        <w:rPr>
          <w:rFonts w:ascii="Titillium Web" w:eastAsia="Times New Roman" w:hAnsi="Titillium Web" w:cs="Times New Roman"/>
          <w:color w:val="121212"/>
          <w:sz w:val="22"/>
          <w:szCs w:val="22"/>
          <w:lang w:eastAsia="fr-FR"/>
        </w:rPr>
        <w:fldChar w:fldCharType="separate"/>
      </w:r>
      <w:r w:rsidRPr="00AF6289">
        <w:rPr>
          <w:rFonts w:ascii="Titillium Web" w:eastAsia="Times New Roman" w:hAnsi="Titillium Web" w:cs="Times New Roman"/>
          <w:noProof/>
          <w:color w:val="121212"/>
          <w:sz w:val="22"/>
          <w:szCs w:val="22"/>
          <w:lang w:eastAsia="fr-FR"/>
        </w:rPr>
        <w:drawing>
          <wp:inline distT="0" distB="0" distL="0" distR="0" wp14:anchorId="23E2A34F" wp14:editId="1EDF7374">
            <wp:extent cx="5760720" cy="3015615"/>
            <wp:effectExtent l="0" t="0" r="5080" b="0"/>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15615"/>
                    </a:xfrm>
                    <a:prstGeom prst="rect">
                      <a:avLst/>
                    </a:prstGeom>
                    <a:noFill/>
                    <a:ln>
                      <a:noFill/>
                    </a:ln>
                  </pic:spPr>
                </pic:pic>
              </a:graphicData>
            </a:graphic>
          </wp:inline>
        </w:drawing>
      </w:r>
      <w:r w:rsidRPr="00AF6289">
        <w:rPr>
          <w:rFonts w:ascii="Titillium Web" w:eastAsia="Times New Roman" w:hAnsi="Titillium Web" w:cs="Times New Roman"/>
          <w:color w:val="121212"/>
          <w:sz w:val="22"/>
          <w:szCs w:val="22"/>
          <w:lang w:eastAsia="fr-FR"/>
        </w:rPr>
        <w:fldChar w:fldCharType="end"/>
      </w:r>
    </w:p>
    <w:p w14:paraId="594E10DC" w14:textId="77777777" w:rsidR="00AF6289" w:rsidRPr="00AF6289" w:rsidRDefault="00AF6289" w:rsidP="00AF6289">
      <w:pPr>
        <w:rPr>
          <w:rFonts w:ascii="Arial" w:eastAsia="Times New Roman" w:hAnsi="Arial" w:cs="Arial"/>
          <w:color w:val="121212"/>
          <w:sz w:val="16"/>
          <w:szCs w:val="16"/>
          <w:lang w:eastAsia="fr-FR"/>
        </w:rPr>
      </w:pPr>
      <w:proofErr w:type="gramStart"/>
      <w:r w:rsidRPr="00AF6289">
        <w:rPr>
          <w:rFonts w:ascii="Arial" w:eastAsia="Times New Roman" w:hAnsi="Arial" w:cs="Arial"/>
          <w:color w:val="121212"/>
          <w:sz w:val="16"/>
          <w:szCs w:val="16"/>
          <w:lang w:eastAsia="fr-FR"/>
        </w:rPr>
        <w:t>publié</w:t>
      </w:r>
      <w:proofErr w:type="gramEnd"/>
      <w:r w:rsidRPr="00AF6289">
        <w:rPr>
          <w:rFonts w:ascii="Arial" w:eastAsia="Times New Roman" w:hAnsi="Arial" w:cs="Arial"/>
          <w:color w:val="121212"/>
          <w:sz w:val="16"/>
          <w:szCs w:val="16"/>
          <w:lang w:eastAsia="fr-FR"/>
        </w:rPr>
        <w:t xml:space="preserve"> le 10/01/2023 ©</w:t>
      </w:r>
      <w:proofErr w:type="spellStart"/>
      <w:r w:rsidRPr="00AF6289">
        <w:rPr>
          <w:rFonts w:ascii="Arial" w:eastAsia="Times New Roman" w:hAnsi="Arial" w:cs="Arial"/>
          <w:color w:val="121212"/>
          <w:sz w:val="16"/>
          <w:szCs w:val="16"/>
          <w:lang w:eastAsia="fr-FR"/>
        </w:rPr>
        <w:t>Gettyimages</w:t>
      </w:r>
      <w:proofErr w:type="spellEnd"/>
    </w:p>
    <w:p w14:paraId="22E9AF1A" w14:textId="77777777" w:rsidR="00AF6289" w:rsidRPr="00AF6289" w:rsidRDefault="00AF6289" w:rsidP="00AF6289">
      <w:pPr>
        <w:spacing w:line="405" w:lineRule="atLeast"/>
        <w:rPr>
          <w:rFonts w:ascii="Arial" w:eastAsia="Times New Roman" w:hAnsi="Arial" w:cs="Arial"/>
          <w:color w:val="28318F"/>
          <w:sz w:val="22"/>
          <w:szCs w:val="22"/>
          <w:lang w:eastAsia="fr-FR"/>
        </w:rPr>
      </w:pPr>
      <w:r w:rsidRPr="00AF6289">
        <w:rPr>
          <w:rFonts w:ascii="Arial" w:eastAsia="Times New Roman" w:hAnsi="Arial" w:cs="Arial"/>
          <w:color w:val="283191"/>
          <w:sz w:val="22"/>
          <w:szCs w:val="22"/>
          <w:lang w:eastAsia="fr-FR"/>
        </w:rPr>
        <w:t>Un commerçant contracte trois prêts professionnels auprès d’une banque puis, afin de rembourser ceux-ci, trois prêts consentis par une autre banque. Peinant à rembourser ces crédits, il conclut un avenant avec cette dernière pour diminuer les échéances et allonger la durée des prêts. Finalement, il met en cause la responsabilité de la banque pour manquement de celle-ci à son </w:t>
      </w:r>
      <w:r w:rsidRPr="00AF6289">
        <w:rPr>
          <w:rFonts w:ascii="Arial" w:eastAsia="Times New Roman" w:hAnsi="Arial" w:cs="Arial"/>
          <w:color w:val="283191"/>
          <w:sz w:val="22"/>
          <w:szCs w:val="22"/>
          <w:u w:val="single"/>
          <w:lang w:eastAsia="fr-FR"/>
        </w:rPr>
        <w:t>devoir de mise en garde.</w:t>
      </w:r>
      <w:r w:rsidRPr="00AF6289">
        <w:rPr>
          <w:rFonts w:ascii="Arial" w:eastAsia="Times New Roman" w:hAnsi="Arial" w:cs="Arial"/>
          <w:color w:val="283191"/>
          <w:sz w:val="22"/>
          <w:szCs w:val="22"/>
          <w:lang w:eastAsia="fr-FR"/>
        </w:rPr>
        <w:br/>
      </w:r>
      <w:r w:rsidRPr="00AF6289">
        <w:rPr>
          <w:rFonts w:ascii="Arial" w:eastAsia="Times New Roman" w:hAnsi="Arial" w:cs="Arial"/>
          <w:color w:val="28318F"/>
          <w:sz w:val="22"/>
          <w:szCs w:val="22"/>
          <w:lang w:eastAsia="fr-FR"/>
        </w:rPr>
        <w:br/>
      </w:r>
      <w:r w:rsidRPr="00AF6289">
        <w:rPr>
          <w:rFonts w:ascii="Arial" w:eastAsia="Times New Roman" w:hAnsi="Arial" w:cs="Arial"/>
          <w:color w:val="283191"/>
          <w:sz w:val="22"/>
          <w:szCs w:val="22"/>
          <w:lang w:eastAsia="fr-FR"/>
        </w:rPr>
        <w:t xml:space="preserve">Une cour d’appel fait droit à la demande et condamne la seconde banque à payer à l’emprunteur, au titre de la perte de chance de ne pas contracter aux conditions proposées par celle-ci, une somme correspondant à la différence entre le passif enregistré par l’emprunteur auprès de la première banque lors du remboursement des prêts souscrits </w:t>
      </w:r>
      <w:r w:rsidRPr="00AF6289">
        <w:rPr>
          <w:rFonts w:ascii="Arial" w:eastAsia="Times New Roman" w:hAnsi="Arial" w:cs="Arial"/>
          <w:color w:val="283191"/>
          <w:sz w:val="22"/>
          <w:szCs w:val="22"/>
          <w:lang w:eastAsia="fr-FR"/>
        </w:rPr>
        <w:lastRenderedPageBreak/>
        <w:t>auprès d'elle et le montant total des prêts souscrits auprès de la seconde banque dans les termes de l'avenant.</w:t>
      </w:r>
      <w:r w:rsidRPr="00AF6289">
        <w:rPr>
          <w:rFonts w:ascii="Arial" w:eastAsia="Times New Roman" w:hAnsi="Arial" w:cs="Arial"/>
          <w:color w:val="283191"/>
          <w:sz w:val="22"/>
          <w:szCs w:val="22"/>
          <w:lang w:eastAsia="fr-FR"/>
        </w:rPr>
        <w:br/>
      </w:r>
      <w:r w:rsidRPr="00AF6289">
        <w:rPr>
          <w:rFonts w:ascii="Arial" w:eastAsia="Times New Roman" w:hAnsi="Arial" w:cs="Arial"/>
          <w:color w:val="28318F"/>
          <w:sz w:val="22"/>
          <w:szCs w:val="22"/>
          <w:lang w:eastAsia="fr-FR"/>
        </w:rPr>
        <w:br/>
        <w:t>Cassation de cette décision. En effet, la </w:t>
      </w:r>
      <w:r w:rsidRPr="00AF6289">
        <w:rPr>
          <w:rFonts w:ascii="Arial" w:eastAsia="Times New Roman" w:hAnsi="Arial" w:cs="Arial"/>
          <w:color w:val="28318F"/>
          <w:sz w:val="22"/>
          <w:szCs w:val="22"/>
          <w:u w:val="single"/>
          <w:lang w:eastAsia="fr-FR"/>
        </w:rPr>
        <w:t>réparation d'une perte de chance</w:t>
      </w:r>
      <w:r w:rsidRPr="00AF6289">
        <w:rPr>
          <w:rFonts w:ascii="Arial" w:eastAsia="Times New Roman" w:hAnsi="Arial" w:cs="Arial"/>
          <w:color w:val="28318F"/>
          <w:sz w:val="22"/>
          <w:szCs w:val="22"/>
          <w:lang w:eastAsia="fr-FR"/>
        </w:rPr>
        <w:t> doit être mesurée à la chance perdue et ne peut être égale à l'avantage qu'aurait procuré cette chance si elle s'était réalisée. En fixant le montant des dommages-intérêts dus à l’emprunteur à hauteur de l'aggravation de son passif résultant de la souscription des prêts professionnels auprès de la seconde banque, la cour d’appel avait indemnisé l’emprunteur à hauteur de l'avantage qu'aurait procuré la chance perdue si elle s'était réalisée.</w:t>
      </w:r>
      <w:r w:rsidRPr="00AF6289">
        <w:rPr>
          <w:rFonts w:ascii="Arial" w:eastAsia="Times New Roman" w:hAnsi="Arial" w:cs="Arial"/>
          <w:color w:val="28318F"/>
          <w:sz w:val="22"/>
          <w:szCs w:val="22"/>
          <w:lang w:eastAsia="fr-FR"/>
        </w:rPr>
        <w:br/>
      </w:r>
      <w:r w:rsidRPr="00AF6289">
        <w:rPr>
          <w:rFonts w:ascii="Arial" w:eastAsia="Times New Roman" w:hAnsi="Arial" w:cs="Arial"/>
          <w:color w:val="28318F"/>
          <w:sz w:val="22"/>
          <w:szCs w:val="22"/>
          <w:lang w:eastAsia="fr-FR"/>
        </w:rPr>
        <w:br/>
      </w:r>
      <w:r w:rsidRPr="00AF6289">
        <w:rPr>
          <w:rFonts w:ascii="Arial" w:eastAsia="Times New Roman" w:hAnsi="Arial" w:cs="Arial"/>
          <w:b/>
          <w:bCs/>
          <w:color w:val="28318F"/>
          <w:lang w:eastAsia="fr-FR"/>
        </w:rPr>
        <w:t>A noter :</w:t>
      </w:r>
      <w:r w:rsidRPr="00AF6289">
        <w:rPr>
          <w:rFonts w:ascii="Arial" w:eastAsia="Times New Roman" w:hAnsi="Arial" w:cs="Arial"/>
          <w:b/>
          <w:bCs/>
          <w:color w:val="28318F"/>
          <w:sz w:val="22"/>
          <w:szCs w:val="22"/>
          <w:lang w:eastAsia="fr-FR"/>
        </w:rPr>
        <w:br/>
      </w:r>
      <w:r w:rsidRPr="00AF6289">
        <w:rPr>
          <w:rFonts w:ascii="Arial" w:eastAsia="Times New Roman" w:hAnsi="Arial" w:cs="Arial"/>
          <w:color w:val="28318F"/>
          <w:sz w:val="22"/>
          <w:szCs w:val="22"/>
          <w:lang w:eastAsia="fr-FR"/>
        </w:rPr>
        <w:t>La banque qui consent un prêt à un emprunteur non averti est tenue à son égard, lors de la conclusion du contrat, d'un devoir de mise en garde en considération de ses capacités financières et des risques de l'endettement né de l'octroi du prêt (jurisprudence constante). Au cas présent, le caractère averti ou non de l’emprunteur n’était pas dans le débat devant la Cour de cassation.</w:t>
      </w:r>
      <w:r w:rsidRPr="00AF6289">
        <w:rPr>
          <w:rFonts w:ascii="Arial" w:eastAsia="Times New Roman" w:hAnsi="Arial" w:cs="Arial"/>
          <w:color w:val="28318F"/>
          <w:sz w:val="22"/>
          <w:szCs w:val="22"/>
          <w:lang w:eastAsia="fr-FR"/>
        </w:rPr>
        <w:br/>
      </w:r>
      <w:r w:rsidRPr="00AF6289">
        <w:rPr>
          <w:rFonts w:ascii="Arial" w:eastAsia="Times New Roman" w:hAnsi="Arial" w:cs="Arial"/>
          <w:color w:val="28318F"/>
          <w:sz w:val="22"/>
          <w:szCs w:val="22"/>
          <w:lang w:eastAsia="fr-FR"/>
        </w:rPr>
        <w:br/>
        <w:t>Le préjudice né du manquement de la banque à ce devoir s'analyse en la perte d'une chance de ne pas contracter (Cass. com. 20-10-2009 n° 08-20.274 FS-PBI : RJDA 1/10 n° 68 ; Cass. com. 7-2-2018 n° 16-12.808 F-D : RJDA 5/18 n° 449). La perte d'une chance implique toujours l'existence d'un aléa, ce qui la distingue du gain manqué. </w:t>
      </w:r>
      <w:r w:rsidRPr="00AF6289">
        <w:rPr>
          <w:rFonts w:ascii="Arial" w:eastAsia="Times New Roman" w:hAnsi="Arial" w:cs="Arial"/>
          <w:color w:val="28318F"/>
          <w:sz w:val="22"/>
          <w:szCs w:val="22"/>
          <w:lang w:eastAsia="fr-FR"/>
        </w:rPr>
        <w:br/>
        <w:t>​</w:t>
      </w:r>
      <w:r w:rsidRPr="00AF6289">
        <w:rPr>
          <w:rFonts w:ascii="Arial" w:eastAsia="Times New Roman" w:hAnsi="Arial" w:cs="Arial"/>
          <w:color w:val="28318F"/>
          <w:sz w:val="22"/>
          <w:szCs w:val="22"/>
          <w:lang w:eastAsia="fr-FR"/>
        </w:rPr>
        <w:br/>
        <w:t>C'est pourquoi la réparation d'une perte de chance doit être mesurée à la chance perdue et ne peut pas être égale à l'avantage qu'aurait procuré cette chance si elle s'était réalisée (notamment, Cass. 1e civ. 9-4-2002 n° 00-13.314 F-PB : RJDA 8-9/02 n° 855 ; Cass. com. 24-3-2015 n° 14-10.255 F-D : RJDA 7/15 n° 492 ; Cass. com. 7-2-2018 précité). Ainsi, l’emprunteur ne peut pas réclamer à la banque fautive une indemnisation égale à l'intégralité de son endettement résultant des prêts souscrits (Cass. com. 7-2-2018 précité).</w:t>
      </w:r>
      <w:r w:rsidRPr="00AF6289">
        <w:rPr>
          <w:rFonts w:ascii="Arial" w:eastAsia="Times New Roman" w:hAnsi="Arial" w:cs="Arial"/>
          <w:color w:val="28318F"/>
          <w:sz w:val="22"/>
          <w:szCs w:val="22"/>
          <w:lang w:eastAsia="fr-FR"/>
        </w:rPr>
        <w:br/>
      </w:r>
      <w:r w:rsidRPr="00AF6289">
        <w:rPr>
          <w:rFonts w:ascii="Arial" w:eastAsia="Times New Roman" w:hAnsi="Arial" w:cs="Arial"/>
          <w:color w:val="28318F"/>
          <w:sz w:val="22"/>
          <w:szCs w:val="22"/>
          <w:lang w:eastAsia="fr-FR"/>
        </w:rPr>
        <w:br/>
        <w:t>Si les juges du fond apprécient souverainement le montant du préjudice subi (Cass. com. 8-11-2011 n° 10-23.662 F-D : RJDA 4/12 n° 375 ; Cass. com. 7-2-2018 précité), la Cour de cassation s’assure néanmoins qu’ils n’ont pas indemnisé le gain manqué (Cass. com. 24-11-2021 n° 19-25.195 F-D : RJDA 7/22 n° 428).</w:t>
      </w:r>
    </w:p>
    <w:p w14:paraId="40C05177" w14:textId="77777777" w:rsidR="00AF6289" w:rsidRPr="00AF6289" w:rsidRDefault="00AF6289">
      <w:pPr>
        <w:rPr>
          <w:sz w:val="22"/>
          <w:szCs w:val="22"/>
        </w:rPr>
      </w:pPr>
    </w:p>
    <w:sectPr w:rsidR="00AF6289" w:rsidRPr="00AF6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tillium Web">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89"/>
    <w:rsid w:val="006131CB"/>
    <w:rsid w:val="00AF6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362E08"/>
  <w15:chartTrackingRefBased/>
  <w15:docId w15:val="{30039441-7D03-EE46-AF61-89D229C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F6289"/>
  </w:style>
  <w:style w:type="character" w:styleId="lev">
    <w:name w:val="Strong"/>
    <w:basedOn w:val="Policepardfaut"/>
    <w:uiPriority w:val="22"/>
    <w:qFormat/>
    <w:rsid w:val="00AF62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328257">
      <w:bodyDiv w:val="1"/>
      <w:marLeft w:val="0"/>
      <w:marRight w:val="0"/>
      <w:marTop w:val="0"/>
      <w:marBottom w:val="0"/>
      <w:divBdr>
        <w:top w:val="none" w:sz="0" w:space="0" w:color="auto"/>
        <w:left w:val="none" w:sz="0" w:space="0" w:color="auto"/>
        <w:bottom w:val="none" w:sz="0" w:space="0" w:color="auto"/>
        <w:right w:val="none" w:sz="0" w:space="0" w:color="auto"/>
      </w:divBdr>
      <w:divsChild>
        <w:div w:id="2049140436">
          <w:blockQuote w:val="1"/>
          <w:marLeft w:val="0"/>
          <w:marRight w:val="0"/>
          <w:marTop w:val="0"/>
          <w:marBottom w:val="330"/>
          <w:divBdr>
            <w:top w:val="none" w:sz="0" w:space="0" w:color="auto"/>
            <w:left w:val="single" w:sz="6" w:space="15" w:color="auto"/>
            <w:bottom w:val="none" w:sz="0" w:space="0" w:color="auto"/>
            <w:right w:val="none" w:sz="0" w:space="0" w:color="auto"/>
          </w:divBdr>
        </w:div>
        <w:div w:id="204605133">
          <w:blockQuote w:val="1"/>
          <w:marLeft w:val="0"/>
          <w:marRight w:val="0"/>
          <w:marTop w:val="0"/>
          <w:marBottom w:val="330"/>
          <w:divBdr>
            <w:top w:val="none" w:sz="0" w:space="0" w:color="auto"/>
            <w:left w:val="single" w:sz="6" w:space="15" w:color="auto"/>
            <w:bottom w:val="none" w:sz="0" w:space="0" w:color="auto"/>
            <w:right w:val="none" w:sz="0" w:space="0" w:color="auto"/>
          </w:divBdr>
        </w:div>
        <w:div w:id="6103604">
          <w:marLeft w:val="0"/>
          <w:marRight w:val="0"/>
          <w:marTop w:val="0"/>
          <w:marBottom w:val="330"/>
          <w:divBdr>
            <w:top w:val="none" w:sz="0" w:space="0" w:color="auto"/>
            <w:left w:val="none" w:sz="0" w:space="0" w:color="auto"/>
            <w:bottom w:val="none" w:sz="0" w:space="0" w:color="auto"/>
            <w:right w:val="none" w:sz="0" w:space="0" w:color="auto"/>
          </w:divBdr>
        </w:div>
        <w:div w:id="868185720">
          <w:marLeft w:val="0"/>
          <w:marRight w:val="0"/>
          <w:marTop w:val="0"/>
          <w:marBottom w:val="330"/>
          <w:divBdr>
            <w:top w:val="none" w:sz="0" w:space="0" w:color="auto"/>
            <w:left w:val="none" w:sz="0" w:space="0" w:color="auto"/>
            <w:bottom w:val="none" w:sz="0" w:space="0" w:color="auto"/>
            <w:right w:val="none" w:sz="0" w:space="0" w:color="auto"/>
          </w:divBdr>
        </w:div>
        <w:div w:id="2015181404">
          <w:marLeft w:val="0"/>
          <w:marRight w:val="0"/>
          <w:marTop w:val="0"/>
          <w:marBottom w:val="330"/>
          <w:divBdr>
            <w:top w:val="none" w:sz="0" w:space="0" w:color="auto"/>
            <w:left w:val="none" w:sz="0" w:space="0" w:color="auto"/>
            <w:bottom w:val="none" w:sz="0" w:space="0" w:color="auto"/>
            <w:right w:val="none" w:sz="0" w:space="0" w:color="auto"/>
          </w:divBdr>
        </w:div>
        <w:div w:id="187492297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3037</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1</cp:revision>
  <dcterms:created xsi:type="dcterms:W3CDTF">2023-01-26T14:16:00Z</dcterms:created>
  <dcterms:modified xsi:type="dcterms:W3CDTF">2023-01-26T14:18:00Z</dcterms:modified>
</cp:coreProperties>
</file>