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E7B2" w14:textId="62197A11" w:rsidR="00DF4A4D" w:rsidRPr="00C17950" w:rsidRDefault="00DF4A4D">
      <w:pPr>
        <w:rPr>
          <w:sz w:val="11"/>
          <w:szCs w:val="11"/>
        </w:rPr>
      </w:pPr>
    </w:p>
    <w:p w14:paraId="066CBA0B" w14:textId="1429DFA3" w:rsidR="00C17950" w:rsidRPr="00C17950" w:rsidRDefault="00C17950">
      <w:pPr>
        <w:rPr>
          <w:sz w:val="11"/>
          <w:szCs w:val="11"/>
        </w:rPr>
      </w:pPr>
    </w:p>
    <w:p w14:paraId="25752710" w14:textId="72B6B362" w:rsidR="00C17950" w:rsidRDefault="00C17950">
      <w:pPr>
        <w:rPr>
          <w:rFonts w:ascii="Cardo" w:hAnsi="Cardo"/>
          <w:color w:val="28318F"/>
          <w:sz w:val="32"/>
          <w:szCs w:val="21"/>
          <w:shd w:val="clear" w:color="auto" w:fill="FFFFFF"/>
        </w:rPr>
      </w:pPr>
      <w:r w:rsidRPr="00C17950">
        <w:rPr>
          <w:rFonts w:ascii="Cardo" w:hAnsi="Cardo"/>
          <w:color w:val="28318F"/>
          <w:sz w:val="32"/>
          <w:szCs w:val="21"/>
          <w:shd w:val="clear" w:color="auto" w:fill="FFFFFF"/>
        </w:rPr>
        <w:t>AFFAIRES ... répression des pratiques économiques illicites</w:t>
      </w:r>
    </w:p>
    <w:p w14:paraId="660C9F6D" w14:textId="0D4CF6F0" w:rsidR="00C17950" w:rsidRDefault="00C17950">
      <w:pPr>
        <w:rPr>
          <w:rFonts w:ascii="Cardo" w:hAnsi="Cardo"/>
          <w:color w:val="28318F"/>
          <w:sz w:val="32"/>
          <w:szCs w:val="21"/>
          <w:shd w:val="clear" w:color="auto" w:fill="FFFFFF"/>
        </w:rPr>
      </w:pPr>
    </w:p>
    <w:p w14:paraId="1F1D6395" w14:textId="45820D5E" w:rsidR="00C17950" w:rsidRDefault="00C17950" w:rsidP="00C17950">
      <w:pPr>
        <w:spacing w:after="330"/>
        <w:outlineLvl w:val="1"/>
        <w:rPr>
          <w:rFonts w:ascii="Arial" w:eastAsia="Times New Roman" w:hAnsi="Arial" w:cs="Arial"/>
          <w:color w:val="EB6A27"/>
          <w:sz w:val="32"/>
          <w:szCs w:val="32"/>
          <w:lang w:eastAsia="fr-FR"/>
        </w:rPr>
      </w:pPr>
      <w:r w:rsidRPr="00C17950">
        <w:rPr>
          <w:rFonts w:ascii="Arial" w:eastAsia="Times New Roman" w:hAnsi="Arial" w:cs="Arial"/>
          <w:color w:val="EB6A27"/>
          <w:sz w:val="32"/>
          <w:szCs w:val="32"/>
          <w:lang w:eastAsia="fr-FR"/>
        </w:rPr>
        <w:t>Le pouvoir de l'administration d'ordonner le déréférencement d'un site internet est validé</w:t>
      </w:r>
    </w:p>
    <w:p w14:paraId="681B0492" w14:textId="6DCE2EFD" w:rsidR="00C17950" w:rsidRDefault="00C17950" w:rsidP="00C17950">
      <w:pPr>
        <w:spacing w:after="330"/>
        <w:outlineLvl w:val="1"/>
        <w:rPr>
          <w:rFonts w:ascii="Arial" w:hAnsi="Arial" w:cs="Arial"/>
          <w:color w:val="2933A2"/>
          <w:sz w:val="22"/>
          <w:szCs w:val="22"/>
          <w:shd w:val="clear" w:color="auto" w:fill="FFFFFF"/>
        </w:rPr>
      </w:pPr>
      <w:r w:rsidRPr="00C17950">
        <w:rPr>
          <w:rFonts w:ascii="Arial" w:hAnsi="Arial" w:cs="Arial"/>
          <w:color w:val="2933A2"/>
          <w:sz w:val="22"/>
          <w:szCs w:val="22"/>
          <w:shd w:val="clear" w:color="auto" w:fill="FFFFFF"/>
        </w:rPr>
        <w:t>Le Conseil constitutionnel valide la possibilité pour l’administration d’ordonner, dans certains cas, à une plateforme en ligne le déréférencement de sites internet ou d’applications dont le contenu est manifestement illicite.</w:t>
      </w:r>
    </w:p>
    <w:p w14:paraId="19ED872A" w14:textId="4DF81D93" w:rsidR="00C17950" w:rsidRDefault="00C17950" w:rsidP="00C17950">
      <w:pPr>
        <w:spacing w:after="330"/>
        <w:outlineLvl w:val="1"/>
        <w:rPr>
          <w:rStyle w:val="lev"/>
          <w:rFonts w:ascii="Arial" w:hAnsi="Arial" w:cs="Arial"/>
          <w:color w:val="2C36A4"/>
          <w:sz w:val="20"/>
          <w:szCs w:val="20"/>
        </w:rPr>
      </w:pPr>
      <w:r w:rsidRPr="00C17950">
        <w:rPr>
          <w:rFonts w:ascii="Arial" w:hAnsi="Arial" w:cs="Arial"/>
          <w:color w:val="2C36A4"/>
          <w:sz w:val="20"/>
          <w:szCs w:val="20"/>
          <w:shd w:val="clear" w:color="auto" w:fill="FFFFFF"/>
        </w:rPr>
        <w:t xml:space="preserve">Cons. </w:t>
      </w:r>
      <w:proofErr w:type="spellStart"/>
      <w:proofErr w:type="gramStart"/>
      <w:r w:rsidRPr="00C17950">
        <w:rPr>
          <w:rFonts w:ascii="Arial" w:hAnsi="Arial" w:cs="Arial"/>
          <w:color w:val="2C36A4"/>
          <w:sz w:val="20"/>
          <w:szCs w:val="20"/>
          <w:shd w:val="clear" w:color="auto" w:fill="FFFFFF"/>
        </w:rPr>
        <w:t>const</w:t>
      </w:r>
      <w:proofErr w:type="spellEnd"/>
      <w:proofErr w:type="gramEnd"/>
      <w:r w:rsidRPr="00C17950">
        <w:rPr>
          <w:rFonts w:ascii="Arial" w:hAnsi="Arial" w:cs="Arial"/>
          <w:color w:val="2C36A4"/>
          <w:sz w:val="20"/>
          <w:szCs w:val="20"/>
          <w:shd w:val="clear" w:color="auto" w:fill="FFFFFF"/>
        </w:rPr>
        <w:t>. 21-10-2022 n° 2022-1016 QPC</w:t>
      </w:r>
      <w:r w:rsidRPr="00C17950">
        <w:rPr>
          <w:rFonts w:ascii="Arial" w:hAnsi="Arial" w:cs="Arial"/>
          <w:color w:val="2C36A4"/>
          <w:sz w:val="20"/>
          <w:szCs w:val="20"/>
        </w:rPr>
        <w:br/>
      </w:r>
      <w:r w:rsidRPr="00C17950">
        <w:rPr>
          <w:rFonts w:ascii="Arial" w:hAnsi="Arial" w:cs="Arial"/>
          <w:color w:val="2C36A4"/>
          <w:sz w:val="20"/>
          <w:szCs w:val="20"/>
          <w:shd w:val="clear" w:color="auto" w:fill="FFFFFF"/>
        </w:rPr>
        <w:t>Par </w:t>
      </w:r>
      <w:r w:rsidRPr="00C17950">
        <w:rPr>
          <w:rStyle w:val="lev"/>
          <w:rFonts w:ascii="Arial" w:hAnsi="Arial" w:cs="Arial"/>
          <w:color w:val="2C36A4"/>
          <w:sz w:val="20"/>
          <w:szCs w:val="20"/>
        </w:rPr>
        <w:t>Dominique LOYER-BOUEZ</w:t>
      </w:r>
    </w:p>
    <w:p w14:paraId="42935FE7" w14:textId="794FA8A4" w:rsidR="00C17950" w:rsidRPr="00C17950" w:rsidRDefault="00C17950" w:rsidP="00C17950">
      <w:pPr>
        <w:spacing w:after="330"/>
        <w:outlineLvl w:val="1"/>
        <w:rPr>
          <w:rFonts w:ascii="Arial" w:eastAsia="Times New Roman" w:hAnsi="Arial" w:cs="Arial"/>
          <w:color w:val="28318F"/>
          <w:sz w:val="18"/>
          <w:szCs w:val="18"/>
          <w:lang w:eastAsia="fr-FR"/>
        </w:rPr>
      </w:pPr>
      <w:r>
        <w:rPr>
          <w:rFonts w:ascii="Arial" w:eastAsia="Times New Roman" w:hAnsi="Arial" w:cs="Arial"/>
          <w:noProof/>
          <w:color w:val="28318F"/>
          <w:sz w:val="18"/>
          <w:szCs w:val="18"/>
          <w:lang w:eastAsia="fr-FR"/>
        </w:rPr>
        <w:drawing>
          <wp:inline distT="0" distB="0" distL="0" distR="0" wp14:anchorId="000582D5" wp14:editId="36219D9A">
            <wp:extent cx="6313208" cy="3304135"/>
            <wp:effectExtent l="0" t="0" r="0" b="0"/>
            <wp:docPr id="1" name="Image 1" descr="Une image contenant clavier, ordinateur, équipement électronique,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avier, ordinateur, équipement électronique, fermer&#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6389878" cy="3344262"/>
                    </a:xfrm>
                    <a:prstGeom prst="rect">
                      <a:avLst/>
                    </a:prstGeom>
                  </pic:spPr>
                </pic:pic>
              </a:graphicData>
            </a:graphic>
          </wp:inline>
        </w:drawing>
      </w:r>
    </w:p>
    <w:p w14:paraId="5CA9FC99" w14:textId="104953AA" w:rsidR="00C17950" w:rsidRDefault="00C17950">
      <w:pPr>
        <w:rPr>
          <w:sz w:val="20"/>
          <w:szCs w:val="20"/>
        </w:rPr>
      </w:pPr>
      <w:proofErr w:type="gramStart"/>
      <w:r w:rsidRPr="00C17950">
        <w:rPr>
          <w:sz w:val="20"/>
          <w:szCs w:val="20"/>
        </w:rPr>
        <w:t>publié</w:t>
      </w:r>
      <w:proofErr w:type="gramEnd"/>
      <w:r w:rsidRPr="00C17950">
        <w:rPr>
          <w:sz w:val="20"/>
          <w:szCs w:val="20"/>
        </w:rPr>
        <w:t xml:space="preserve"> le 14/12/2022 ©</w:t>
      </w:r>
      <w:proofErr w:type="spellStart"/>
      <w:r w:rsidRPr="00C17950">
        <w:rPr>
          <w:sz w:val="20"/>
          <w:szCs w:val="20"/>
        </w:rPr>
        <w:t>Gettyimages</w:t>
      </w:r>
      <w:proofErr w:type="spellEnd"/>
    </w:p>
    <w:p w14:paraId="681B6DDC" w14:textId="7F527E3D" w:rsidR="00C17950" w:rsidRDefault="00C17950">
      <w:pPr>
        <w:rPr>
          <w:sz w:val="20"/>
          <w:szCs w:val="20"/>
        </w:rPr>
      </w:pPr>
    </w:p>
    <w:p w14:paraId="76FD32F0" w14:textId="77777777" w:rsidR="00C17950" w:rsidRDefault="00C17950" w:rsidP="00C17950">
      <w:pPr>
        <w:rPr>
          <w:rFonts w:ascii="Arial" w:eastAsia="Times New Roman" w:hAnsi="Arial" w:cs="Arial"/>
          <w:color w:val="282887"/>
          <w:sz w:val="22"/>
          <w:szCs w:val="22"/>
          <w:u w:val="single"/>
          <w:lang w:eastAsia="fr-FR"/>
        </w:rPr>
      </w:pPr>
      <w:r w:rsidRPr="00C17950">
        <w:rPr>
          <w:rFonts w:ascii="Arial" w:eastAsia="Times New Roman" w:hAnsi="Arial" w:cs="Arial"/>
          <w:color w:val="282887"/>
          <w:sz w:val="22"/>
          <w:szCs w:val="22"/>
          <w:lang w:eastAsia="fr-FR"/>
        </w:rPr>
        <w:t>Depuis la loi 2020-1508 du 3 décembre 2020 (loi « DDADUE »), lorsque les agents de la DGCCRF constatent, à partir d'une interface en ligne (site internet ou application), un manquement aux règles en matière d'informations précontractuelles, de pratiques commerciales (pratiques commerciales déloyales, notamment), de contrats (règles particulières aux contrats conclus à distance, par exemple) et de crédit, ainsi qu’aux règles relatives à la conformité ou à la sécurité des produits, l’autorité chargée de la concurrence et de la consommation peut, dans certains cas, enjoindre aux opérateurs de plateforme en ligne de déréférencer l’adresse électronique de cette interface (</w:t>
      </w:r>
      <w:hyperlink r:id="rId5" w:tgtFrame="_blank" w:history="1">
        <w:r w:rsidRPr="00C17950">
          <w:rPr>
            <w:rFonts w:ascii="Arial" w:eastAsia="Times New Roman" w:hAnsi="Arial" w:cs="Arial"/>
            <w:color w:val="121212"/>
            <w:sz w:val="22"/>
            <w:szCs w:val="22"/>
            <w:u w:val="single"/>
            <w:lang w:eastAsia="fr-FR"/>
          </w:rPr>
          <w:t xml:space="preserve">C. </w:t>
        </w:r>
        <w:proofErr w:type="spellStart"/>
        <w:r w:rsidRPr="00C17950">
          <w:rPr>
            <w:rFonts w:ascii="Arial" w:eastAsia="Times New Roman" w:hAnsi="Arial" w:cs="Arial"/>
            <w:color w:val="121212"/>
            <w:sz w:val="22"/>
            <w:szCs w:val="22"/>
            <w:u w:val="single"/>
            <w:lang w:eastAsia="fr-FR"/>
          </w:rPr>
          <w:t>consom</w:t>
        </w:r>
        <w:proofErr w:type="spellEnd"/>
        <w:r w:rsidRPr="00C17950">
          <w:rPr>
            <w:rFonts w:ascii="Arial" w:eastAsia="Times New Roman" w:hAnsi="Arial" w:cs="Arial"/>
            <w:color w:val="121212"/>
            <w:sz w:val="22"/>
            <w:szCs w:val="22"/>
            <w:u w:val="single"/>
            <w:lang w:eastAsia="fr-FR"/>
          </w:rPr>
          <w:t>. art. L 521-3-1</w:t>
        </w:r>
      </w:hyperlink>
      <w:r w:rsidRPr="00C17950">
        <w:rPr>
          <w:rFonts w:ascii="Arial" w:eastAsia="Times New Roman" w:hAnsi="Arial" w:cs="Arial"/>
          <w:color w:val="282887"/>
          <w:sz w:val="22"/>
          <w:szCs w:val="22"/>
          <w:lang w:eastAsia="fr-FR"/>
        </w:rPr>
        <w:t>).</w:t>
      </w:r>
      <w:r w:rsidRPr="00C17950">
        <w:rPr>
          <w:rFonts w:ascii="Arial" w:eastAsia="Times New Roman" w:hAnsi="Arial" w:cs="Arial"/>
          <w:color w:val="28318F"/>
          <w:sz w:val="22"/>
          <w:szCs w:val="22"/>
          <w:lang w:eastAsia="fr-FR"/>
        </w:rPr>
        <w:br/>
      </w:r>
      <w:r w:rsidRPr="00C17950">
        <w:rPr>
          <w:rFonts w:ascii="Arial" w:eastAsia="Times New Roman" w:hAnsi="Arial" w:cs="Arial"/>
          <w:color w:val="28318F"/>
          <w:sz w:val="22"/>
          <w:szCs w:val="22"/>
          <w:lang w:eastAsia="fr-FR"/>
        </w:rPr>
        <w:br/>
      </w:r>
      <w:r w:rsidRPr="00C17950">
        <w:rPr>
          <w:rFonts w:ascii="Arial" w:eastAsia="Times New Roman" w:hAnsi="Arial" w:cs="Arial"/>
          <w:color w:val="282887"/>
          <w:sz w:val="22"/>
          <w:szCs w:val="22"/>
          <w:lang w:eastAsia="fr-FR"/>
        </w:rPr>
        <w:t>Saisi d’une question prioritaire de constitutionnalité (CE 22-7-2022 n° 459960 QPC : BRDA 18/22 inf. 20), le Conseil constitutionnel considère que cette disposition ne méconnaît ni </w:t>
      </w:r>
      <w:r w:rsidRPr="00C17950">
        <w:rPr>
          <w:rFonts w:ascii="Arial" w:eastAsia="Times New Roman" w:hAnsi="Arial" w:cs="Arial"/>
          <w:color w:val="282887"/>
          <w:sz w:val="22"/>
          <w:szCs w:val="22"/>
          <w:u w:val="single"/>
          <w:lang w:eastAsia="fr-FR"/>
        </w:rPr>
        <w:t>la liberté d’expression et de communication</w:t>
      </w:r>
      <w:r w:rsidRPr="00C17950">
        <w:rPr>
          <w:rFonts w:ascii="Arial" w:eastAsia="Times New Roman" w:hAnsi="Arial" w:cs="Arial"/>
          <w:color w:val="282887"/>
          <w:sz w:val="22"/>
          <w:szCs w:val="22"/>
          <w:lang w:eastAsia="fr-FR"/>
        </w:rPr>
        <w:t> ni </w:t>
      </w:r>
      <w:r w:rsidRPr="00C17950">
        <w:rPr>
          <w:rFonts w:ascii="Arial" w:eastAsia="Times New Roman" w:hAnsi="Arial" w:cs="Arial"/>
          <w:color w:val="282887"/>
          <w:sz w:val="22"/>
          <w:szCs w:val="22"/>
          <w:u w:val="single"/>
          <w:lang w:eastAsia="fr-FR"/>
        </w:rPr>
        <w:t>la liberté d’entreprendre.</w:t>
      </w:r>
    </w:p>
    <w:p w14:paraId="682EF7B1" w14:textId="77777777" w:rsidR="00C17950" w:rsidRDefault="00C17950" w:rsidP="00C17950">
      <w:pPr>
        <w:rPr>
          <w:rFonts w:ascii="Arial" w:eastAsia="Times New Roman" w:hAnsi="Arial" w:cs="Arial"/>
          <w:color w:val="282887"/>
          <w:sz w:val="22"/>
          <w:szCs w:val="22"/>
          <w:u w:val="single"/>
          <w:lang w:eastAsia="fr-FR"/>
        </w:rPr>
      </w:pPr>
    </w:p>
    <w:p w14:paraId="174A72AB" w14:textId="77777777" w:rsidR="00C17950" w:rsidRDefault="00C17950" w:rsidP="00C17950">
      <w:pPr>
        <w:rPr>
          <w:rFonts w:ascii="Arial" w:eastAsia="Times New Roman" w:hAnsi="Arial" w:cs="Arial"/>
          <w:color w:val="282887"/>
          <w:sz w:val="22"/>
          <w:szCs w:val="22"/>
          <w:u w:val="single"/>
          <w:lang w:eastAsia="fr-FR"/>
        </w:rPr>
      </w:pPr>
    </w:p>
    <w:p w14:paraId="79358343" w14:textId="77777777" w:rsidR="00C17950" w:rsidRDefault="00C17950" w:rsidP="00C17950">
      <w:pPr>
        <w:rPr>
          <w:rFonts w:ascii="Arial" w:eastAsia="Times New Roman" w:hAnsi="Arial" w:cs="Arial"/>
          <w:color w:val="282887"/>
          <w:sz w:val="22"/>
          <w:szCs w:val="22"/>
          <w:u w:val="single"/>
          <w:lang w:eastAsia="fr-FR"/>
        </w:rPr>
      </w:pPr>
    </w:p>
    <w:p w14:paraId="493E11A8" w14:textId="77777777" w:rsidR="00C17950" w:rsidRDefault="00C17950" w:rsidP="00C17950">
      <w:pPr>
        <w:rPr>
          <w:rFonts w:ascii="Arial" w:eastAsia="Times New Roman" w:hAnsi="Arial" w:cs="Arial"/>
          <w:color w:val="282887"/>
          <w:sz w:val="22"/>
          <w:szCs w:val="22"/>
          <w:u w:val="single"/>
          <w:lang w:eastAsia="fr-FR"/>
        </w:rPr>
      </w:pPr>
    </w:p>
    <w:p w14:paraId="7A4254F4" w14:textId="14F9ABBC" w:rsidR="00C17950" w:rsidRPr="00C17950" w:rsidRDefault="00C17950" w:rsidP="00C17950">
      <w:pPr>
        <w:rPr>
          <w:rFonts w:ascii="Times New Roman" w:eastAsia="Times New Roman" w:hAnsi="Times New Roman" w:cs="Times New Roman"/>
          <w:sz w:val="22"/>
          <w:szCs w:val="22"/>
          <w:lang w:eastAsia="fr-FR"/>
        </w:rPr>
      </w:pPr>
      <w:r w:rsidRPr="00C17950">
        <w:rPr>
          <w:rFonts w:ascii="Arial" w:eastAsia="Times New Roman" w:hAnsi="Arial" w:cs="Arial"/>
          <w:color w:val="28318F"/>
          <w:sz w:val="22"/>
          <w:szCs w:val="22"/>
          <w:lang w:eastAsia="fr-FR"/>
        </w:rPr>
        <w:br/>
      </w:r>
      <w:r w:rsidRPr="00C17950">
        <w:rPr>
          <w:rFonts w:ascii="Arial" w:eastAsia="Times New Roman" w:hAnsi="Arial" w:cs="Arial"/>
          <w:color w:val="28318F"/>
          <w:sz w:val="22"/>
          <w:szCs w:val="22"/>
          <w:lang w:eastAsia="fr-FR"/>
        </w:rPr>
        <w:br/>
      </w:r>
      <w:r w:rsidRPr="00C17950">
        <w:rPr>
          <w:rFonts w:ascii="Arial" w:eastAsia="Times New Roman" w:hAnsi="Arial" w:cs="Arial"/>
          <w:b/>
          <w:bCs/>
          <w:color w:val="282887"/>
          <w:sz w:val="22"/>
          <w:szCs w:val="22"/>
          <w:lang w:eastAsia="fr-FR"/>
        </w:rPr>
        <w:t>Il n'y a pas atteinte à la liberté d’expression et de communication pour les raisons suivantes :</w:t>
      </w:r>
      <w:r w:rsidRPr="00C17950">
        <w:rPr>
          <w:rFonts w:ascii="Arial" w:eastAsia="Times New Roman" w:hAnsi="Arial" w:cs="Arial"/>
          <w:color w:val="282887"/>
          <w:sz w:val="22"/>
          <w:szCs w:val="22"/>
          <w:lang w:eastAsia="fr-FR"/>
        </w:rPr>
        <w:br/>
        <w:t>en adoptant les dispositions contestées, le législateur a poursuivi l'</w:t>
      </w:r>
      <w:r w:rsidRPr="00C17950">
        <w:rPr>
          <w:rFonts w:ascii="Arial" w:eastAsia="Times New Roman" w:hAnsi="Arial" w:cs="Arial"/>
          <w:color w:val="282887"/>
          <w:sz w:val="22"/>
          <w:szCs w:val="22"/>
          <w:u w:val="single"/>
          <w:lang w:eastAsia="fr-FR"/>
        </w:rPr>
        <w:t>objectif d'intérêt général </w:t>
      </w:r>
      <w:r w:rsidRPr="00C17950">
        <w:rPr>
          <w:rFonts w:ascii="Arial" w:eastAsia="Times New Roman" w:hAnsi="Arial" w:cs="Arial"/>
          <w:color w:val="282887"/>
          <w:sz w:val="22"/>
          <w:szCs w:val="22"/>
          <w:lang w:eastAsia="fr-FR"/>
        </w:rPr>
        <w:t>de renforcer la protection des consommateurs et d’assurer la loyauté des transactions commerciales en ligne ;</w:t>
      </w:r>
      <w:r w:rsidRPr="00C17950">
        <w:rPr>
          <w:rFonts w:ascii="Arial" w:eastAsia="Times New Roman" w:hAnsi="Arial" w:cs="Arial"/>
          <w:color w:val="282887"/>
          <w:sz w:val="22"/>
          <w:szCs w:val="22"/>
          <w:lang w:eastAsia="fr-FR"/>
        </w:rPr>
        <w:br/>
      </w:r>
      <w:r w:rsidRPr="00C17950">
        <w:rPr>
          <w:rFonts w:ascii="Arial" w:eastAsia="Times New Roman" w:hAnsi="Arial" w:cs="Arial"/>
          <w:b/>
          <w:bCs/>
          <w:color w:val="282887"/>
          <w:sz w:val="22"/>
          <w:szCs w:val="22"/>
          <w:lang w:eastAsia="fr-FR"/>
        </w:rPr>
        <w:t>d’une part</w:t>
      </w:r>
      <w:r w:rsidRPr="00C17950">
        <w:rPr>
          <w:rFonts w:ascii="Arial" w:eastAsia="Times New Roman" w:hAnsi="Arial" w:cs="Arial"/>
          <w:color w:val="282887"/>
          <w:sz w:val="22"/>
          <w:szCs w:val="22"/>
          <w:lang w:eastAsia="fr-FR"/>
        </w:rPr>
        <w:t>, la mesure de déréférencement ne s'applique qu'à des sites internet ou à des applications, exploités à des fins commerciales par un professionnel ou pour son compte, et permettant aux consommateurs d'accéder aux biens ou services qu'ils proposent, lorsque ont été constatées à partir de ces interfaces des pratiques caractérisant certaines infractions punies d'une peine d'au moins deux ans d'emprisonnement et de nature à porter une </w:t>
      </w:r>
      <w:r w:rsidRPr="00C17950">
        <w:rPr>
          <w:rFonts w:ascii="Arial" w:eastAsia="Times New Roman" w:hAnsi="Arial" w:cs="Arial"/>
          <w:color w:val="282887"/>
          <w:sz w:val="22"/>
          <w:szCs w:val="22"/>
          <w:u w:val="single"/>
          <w:lang w:eastAsia="fr-FR"/>
        </w:rPr>
        <w:t>atteinte grave à la loyauté des transactions ou à l'intérêt des consommateurs</w:t>
      </w:r>
      <w:r w:rsidRPr="00C17950">
        <w:rPr>
          <w:rFonts w:ascii="Arial" w:eastAsia="Times New Roman" w:hAnsi="Arial" w:cs="Arial"/>
          <w:color w:val="282887"/>
          <w:sz w:val="22"/>
          <w:szCs w:val="22"/>
          <w:lang w:eastAsia="fr-FR"/>
        </w:rPr>
        <w:t> ; </w:t>
      </w:r>
      <w:r w:rsidRPr="00C17950">
        <w:rPr>
          <w:rFonts w:ascii="Arial" w:eastAsia="Times New Roman" w:hAnsi="Arial" w:cs="Arial"/>
          <w:color w:val="282887"/>
          <w:sz w:val="22"/>
          <w:szCs w:val="22"/>
          <w:lang w:eastAsia="fr-FR"/>
        </w:rPr>
        <w:br/>
      </w:r>
      <w:r w:rsidRPr="00C17950">
        <w:rPr>
          <w:rFonts w:ascii="Arial" w:eastAsia="Times New Roman" w:hAnsi="Arial" w:cs="Arial"/>
          <w:b/>
          <w:bCs/>
          <w:color w:val="282887"/>
          <w:sz w:val="22"/>
          <w:szCs w:val="22"/>
          <w:lang w:eastAsia="fr-FR"/>
        </w:rPr>
        <w:t>d’autre part</w:t>
      </w:r>
      <w:r w:rsidRPr="00C17950">
        <w:rPr>
          <w:rFonts w:ascii="Arial" w:eastAsia="Times New Roman" w:hAnsi="Arial" w:cs="Arial"/>
          <w:color w:val="282887"/>
          <w:sz w:val="22"/>
          <w:szCs w:val="22"/>
          <w:lang w:eastAsia="fr-FR"/>
        </w:rPr>
        <w:t>, seules peuvent faire l'objet d'un déréférencement les adresses électroniques des interfaces en ligne dont les contenus présentent </w:t>
      </w:r>
      <w:r w:rsidRPr="00C17950">
        <w:rPr>
          <w:rFonts w:ascii="Arial" w:eastAsia="Times New Roman" w:hAnsi="Arial" w:cs="Arial"/>
          <w:color w:val="282887"/>
          <w:sz w:val="22"/>
          <w:szCs w:val="22"/>
          <w:u w:val="single"/>
          <w:lang w:eastAsia="fr-FR"/>
        </w:rPr>
        <w:t>un caractère « manifestement » illicite</w:t>
      </w:r>
      <w:r w:rsidRPr="00C17950">
        <w:rPr>
          <w:rFonts w:ascii="Arial" w:eastAsia="Times New Roman" w:hAnsi="Arial" w:cs="Arial"/>
          <w:color w:val="282887"/>
          <w:sz w:val="22"/>
          <w:szCs w:val="22"/>
          <w:lang w:eastAsia="fr-FR"/>
        </w:rPr>
        <w:t> ;</w:t>
      </w:r>
      <w:r w:rsidRPr="00C17950">
        <w:rPr>
          <w:rFonts w:ascii="Arial" w:eastAsia="Times New Roman" w:hAnsi="Arial" w:cs="Arial"/>
          <w:color w:val="282887"/>
          <w:sz w:val="22"/>
          <w:szCs w:val="22"/>
          <w:lang w:eastAsia="fr-FR"/>
        </w:rPr>
        <w:br/>
        <w:t>les dispositions contestées ne peuvent être mises en œuvre que si l'auteur de la pratique frauduleuse constatée sur cette interface </w:t>
      </w:r>
      <w:r w:rsidRPr="00C17950">
        <w:rPr>
          <w:rFonts w:ascii="Arial" w:eastAsia="Times New Roman" w:hAnsi="Arial" w:cs="Arial"/>
          <w:color w:val="282887"/>
          <w:sz w:val="22"/>
          <w:szCs w:val="22"/>
          <w:u w:val="single"/>
          <w:lang w:eastAsia="fr-FR"/>
        </w:rPr>
        <w:t>n'a pas pu être identifié</w:t>
      </w:r>
      <w:r w:rsidRPr="00C17950">
        <w:rPr>
          <w:rFonts w:ascii="Arial" w:eastAsia="Times New Roman" w:hAnsi="Arial" w:cs="Arial"/>
          <w:color w:val="282887"/>
          <w:sz w:val="22"/>
          <w:szCs w:val="22"/>
          <w:lang w:eastAsia="fr-FR"/>
        </w:rPr>
        <w:t> ou s'il </w:t>
      </w:r>
      <w:r w:rsidRPr="00C17950">
        <w:rPr>
          <w:rFonts w:ascii="Arial" w:eastAsia="Times New Roman" w:hAnsi="Arial" w:cs="Arial"/>
          <w:color w:val="282887"/>
          <w:sz w:val="22"/>
          <w:szCs w:val="22"/>
          <w:u w:val="single"/>
          <w:lang w:eastAsia="fr-FR"/>
        </w:rPr>
        <w:t>n'a pas déféré à une injonction de mise en conformité </w:t>
      </w:r>
      <w:r w:rsidRPr="00C17950">
        <w:rPr>
          <w:rFonts w:ascii="Arial" w:eastAsia="Times New Roman" w:hAnsi="Arial" w:cs="Arial"/>
          <w:color w:val="282887"/>
          <w:sz w:val="22"/>
          <w:szCs w:val="22"/>
          <w:lang w:eastAsia="fr-FR"/>
        </w:rPr>
        <w:t>prise après une procédure contradictoire et qui peut être contestée devant le juge compétent ; le </w:t>
      </w:r>
      <w:r w:rsidRPr="00C17950">
        <w:rPr>
          <w:rFonts w:ascii="Arial" w:eastAsia="Times New Roman" w:hAnsi="Arial" w:cs="Arial"/>
          <w:color w:val="282887"/>
          <w:sz w:val="22"/>
          <w:szCs w:val="22"/>
          <w:u w:val="single"/>
          <w:lang w:eastAsia="fr-FR"/>
        </w:rPr>
        <w:t>délai</w:t>
      </w:r>
      <w:r w:rsidRPr="00C17950">
        <w:rPr>
          <w:rFonts w:ascii="Arial" w:eastAsia="Times New Roman" w:hAnsi="Arial" w:cs="Arial"/>
          <w:color w:val="282887"/>
          <w:sz w:val="22"/>
          <w:szCs w:val="22"/>
          <w:lang w:eastAsia="fr-FR"/>
        </w:rPr>
        <w:t> fixé par l'autorité administrative pour procéder au déréférencement, qui ne peut pas être inférieur à 48 heures, permet aux personnes intéressées de contester utilement cette décision par la voie d'un recours en référé sur le fondement des articles </w:t>
      </w:r>
      <w:hyperlink r:id="rId6" w:tgtFrame="_blank" w:history="1">
        <w:r w:rsidRPr="00C17950">
          <w:rPr>
            <w:rFonts w:ascii="Arial" w:eastAsia="Times New Roman" w:hAnsi="Arial" w:cs="Arial"/>
            <w:color w:val="121212"/>
            <w:sz w:val="22"/>
            <w:szCs w:val="22"/>
            <w:u w:val="single"/>
            <w:lang w:eastAsia="fr-FR"/>
          </w:rPr>
          <w:t>L 521-1</w:t>
        </w:r>
      </w:hyperlink>
      <w:r w:rsidRPr="00C17950">
        <w:rPr>
          <w:rFonts w:ascii="Arial" w:eastAsia="Times New Roman" w:hAnsi="Arial" w:cs="Arial"/>
          <w:color w:val="282887"/>
          <w:sz w:val="22"/>
          <w:szCs w:val="22"/>
          <w:lang w:eastAsia="fr-FR"/>
        </w:rPr>
        <w:t> et </w:t>
      </w:r>
      <w:hyperlink r:id="rId7" w:tgtFrame="_blank" w:history="1">
        <w:r w:rsidRPr="00C17950">
          <w:rPr>
            <w:rFonts w:ascii="Arial" w:eastAsia="Times New Roman" w:hAnsi="Arial" w:cs="Arial"/>
            <w:color w:val="121212"/>
            <w:sz w:val="22"/>
            <w:szCs w:val="22"/>
            <w:u w:val="single"/>
            <w:lang w:eastAsia="fr-FR"/>
          </w:rPr>
          <w:t>L 521-2</w:t>
        </w:r>
      </w:hyperlink>
      <w:r w:rsidRPr="00C17950">
        <w:rPr>
          <w:rFonts w:ascii="Arial" w:eastAsia="Times New Roman" w:hAnsi="Arial" w:cs="Arial"/>
          <w:color w:val="282887"/>
          <w:sz w:val="22"/>
          <w:szCs w:val="22"/>
          <w:lang w:eastAsia="fr-FR"/>
        </w:rPr>
        <w:t> du Code de justice administrative ; les dispositions contestées permettent, </w:t>
      </w:r>
      <w:r w:rsidRPr="00C17950">
        <w:rPr>
          <w:rFonts w:ascii="Arial" w:eastAsia="Times New Roman" w:hAnsi="Arial" w:cs="Arial"/>
          <w:color w:val="282887"/>
          <w:sz w:val="22"/>
          <w:szCs w:val="22"/>
          <w:u w:val="single"/>
          <w:lang w:eastAsia="fr-FR"/>
        </w:rPr>
        <w:t>sous le contrôle du juge</w:t>
      </w:r>
      <w:r w:rsidRPr="00C17950">
        <w:rPr>
          <w:rFonts w:ascii="Arial" w:eastAsia="Times New Roman" w:hAnsi="Arial" w:cs="Arial"/>
          <w:color w:val="282887"/>
          <w:sz w:val="22"/>
          <w:szCs w:val="22"/>
          <w:lang w:eastAsia="fr-FR"/>
        </w:rPr>
        <w:t> qui s'assure de sa proportionnalité, que la mesure de déréférencement s'applique à tout ou partie de l'interface en ligne.</w:t>
      </w:r>
      <w:r w:rsidRPr="00C17950">
        <w:rPr>
          <w:rFonts w:ascii="Arial" w:eastAsia="Times New Roman" w:hAnsi="Arial" w:cs="Arial"/>
          <w:color w:val="28318F"/>
          <w:sz w:val="22"/>
          <w:szCs w:val="22"/>
          <w:lang w:eastAsia="fr-FR"/>
        </w:rPr>
        <w:br/>
      </w:r>
      <w:r w:rsidRPr="00C17950">
        <w:rPr>
          <w:rFonts w:ascii="Arial" w:eastAsia="Times New Roman" w:hAnsi="Arial" w:cs="Arial"/>
          <w:color w:val="28318F"/>
          <w:sz w:val="22"/>
          <w:szCs w:val="22"/>
          <w:lang w:eastAsia="fr-FR"/>
        </w:rPr>
        <w:br/>
      </w:r>
      <w:r w:rsidRPr="00C17950">
        <w:rPr>
          <w:rFonts w:ascii="Arial" w:eastAsia="Times New Roman" w:hAnsi="Arial" w:cs="Arial"/>
          <w:b/>
          <w:bCs/>
          <w:color w:val="282887"/>
          <w:sz w:val="22"/>
          <w:szCs w:val="22"/>
          <w:lang w:eastAsia="fr-FR"/>
        </w:rPr>
        <w:t>Pour conclure</w:t>
      </w:r>
      <w:r w:rsidRPr="00C17950">
        <w:rPr>
          <w:rFonts w:ascii="Arial" w:eastAsia="Times New Roman" w:hAnsi="Arial" w:cs="Arial"/>
          <w:color w:val="282887"/>
          <w:sz w:val="22"/>
          <w:szCs w:val="22"/>
          <w:lang w:eastAsia="fr-FR"/>
        </w:rPr>
        <w:t> à l’absence de méconnaissance de la liberté d’entreprendre, le Conseil considère que les dispositions contestées n'ont pas pour effet d'empêcher les exploitants des interfaces en ligne d'exercer leurs activités commerciales, </w:t>
      </w:r>
      <w:r w:rsidRPr="00C17950">
        <w:rPr>
          <w:rFonts w:ascii="Arial" w:eastAsia="Times New Roman" w:hAnsi="Arial" w:cs="Arial"/>
          <w:color w:val="282887"/>
          <w:sz w:val="22"/>
          <w:szCs w:val="22"/>
          <w:u w:val="single"/>
          <w:lang w:eastAsia="fr-FR"/>
        </w:rPr>
        <w:t>leurs adresses demeurant directement accessibles en ligne.</w:t>
      </w:r>
      <w:r w:rsidRPr="00C17950">
        <w:rPr>
          <w:rFonts w:ascii="Arial" w:eastAsia="Times New Roman" w:hAnsi="Arial" w:cs="Arial"/>
          <w:color w:val="28318F"/>
          <w:sz w:val="22"/>
          <w:szCs w:val="22"/>
          <w:lang w:eastAsia="fr-FR"/>
        </w:rPr>
        <w:br/>
      </w:r>
    </w:p>
    <w:p w14:paraId="1AC1EAE4" w14:textId="77777777" w:rsidR="00C17950" w:rsidRPr="00C17950" w:rsidRDefault="00C17950">
      <w:pPr>
        <w:rPr>
          <w:sz w:val="20"/>
          <w:szCs w:val="20"/>
        </w:rPr>
      </w:pPr>
    </w:p>
    <w:sectPr w:rsidR="00C17950" w:rsidRPr="00C1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0"/>
    <w:rsid w:val="00C17950"/>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35BF6F"/>
  <w15:chartTrackingRefBased/>
  <w15:docId w15:val="{C1ACEE61-E659-C944-B4F3-AF9DC60B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1795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795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17950"/>
    <w:rPr>
      <w:b/>
      <w:bCs/>
    </w:rPr>
  </w:style>
  <w:style w:type="character" w:styleId="Lienhypertexte">
    <w:name w:val="Hyperlink"/>
    <w:basedOn w:val="Policepardfaut"/>
    <w:uiPriority w:val="99"/>
    <w:semiHidden/>
    <w:unhideWhenUsed/>
    <w:rsid w:val="00C17950"/>
    <w:rPr>
      <w:color w:val="0000FF"/>
      <w:u w:val="single"/>
    </w:rPr>
  </w:style>
  <w:style w:type="character" w:customStyle="1" w:styleId="apple-converted-space">
    <w:name w:val="apple-converted-space"/>
    <w:basedOn w:val="Policepardfaut"/>
    <w:rsid w:val="00C1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650">
      <w:bodyDiv w:val="1"/>
      <w:marLeft w:val="0"/>
      <w:marRight w:val="0"/>
      <w:marTop w:val="0"/>
      <w:marBottom w:val="0"/>
      <w:divBdr>
        <w:top w:val="none" w:sz="0" w:space="0" w:color="auto"/>
        <w:left w:val="none" w:sz="0" w:space="0" w:color="auto"/>
        <w:bottom w:val="none" w:sz="0" w:space="0" w:color="auto"/>
        <w:right w:val="none" w:sz="0" w:space="0" w:color="auto"/>
      </w:divBdr>
    </w:div>
    <w:div w:id="14318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article_lc/LEGIARTI000006449327/2022-1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06449326" TargetMode="External"/><Relationship Id="rId5" Type="http://schemas.openxmlformats.org/officeDocument/2006/relationships/hyperlink" Target="https://www.legifrance.gouv.fr/codes/article_lc/LEGIARTI000042615686"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2022-12-19T16:02:00Z</dcterms:created>
  <dcterms:modified xsi:type="dcterms:W3CDTF">2022-12-19T16:05:00Z</dcterms:modified>
</cp:coreProperties>
</file>