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7DAF" w14:textId="7F5C0214" w:rsidR="00D873B0" w:rsidRPr="00DB00FC" w:rsidRDefault="00DB00FC" w:rsidP="00DB00FC">
      <w:pPr>
        <w:rPr>
          <w:rFonts w:ascii="Arial" w:hAnsi="Arial" w:cs="Arial"/>
          <w:b/>
          <w:bCs/>
          <w:color w:val="2F5496" w:themeColor="accent1" w:themeShade="BF"/>
          <w:sz w:val="32"/>
          <w:szCs w:val="32"/>
        </w:rPr>
      </w:pPr>
      <w:r w:rsidRPr="00DB00FC">
        <w:rPr>
          <w:rFonts w:ascii="Arial" w:hAnsi="Arial" w:cs="Arial"/>
          <w:b/>
          <w:bCs/>
          <w:color w:val="2F5496" w:themeColor="accent1" w:themeShade="BF"/>
          <w:sz w:val="32"/>
          <w:szCs w:val="32"/>
        </w:rPr>
        <w:t>…AFFAIRES – EXTINCTION</w:t>
      </w:r>
    </w:p>
    <w:p w14:paraId="00948B1C" w14:textId="0B862DCB" w:rsidR="00DB00FC" w:rsidRPr="00DB00FC" w:rsidRDefault="00DB00FC" w:rsidP="00DB00FC">
      <w:pPr>
        <w:rPr>
          <w:rFonts w:ascii="Arial" w:hAnsi="Arial" w:cs="Arial"/>
        </w:rPr>
      </w:pPr>
    </w:p>
    <w:p w14:paraId="4D0EC409" w14:textId="2C83A327" w:rsidR="00DB00FC" w:rsidRPr="00DB00FC" w:rsidRDefault="00DB00FC" w:rsidP="00DB00FC">
      <w:pPr>
        <w:outlineLvl w:val="0"/>
        <w:rPr>
          <w:rFonts w:ascii="Arial" w:eastAsia="Times New Roman" w:hAnsi="Arial" w:cs="Arial"/>
          <w:color w:val="EB6D2C"/>
          <w:sz w:val="36"/>
          <w:szCs w:val="36"/>
          <w:lang w:eastAsia="fr-FR"/>
        </w:rPr>
      </w:pPr>
      <w:r w:rsidRPr="00DB00FC">
        <w:rPr>
          <w:rFonts w:ascii="Arial" w:eastAsia="Times New Roman" w:hAnsi="Arial" w:cs="Arial"/>
          <w:color w:val="EB6D2C"/>
          <w:sz w:val="36"/>
          <w:szCs w:val="36"/>
          <w:lang w:eastAsia="fr-FR"/>
        </w:rPr>
        <w:t>La clause résolutoire de plein droit peut jouer quelle que soit la gravité de manquement commis</w:t>
      </w:r>
    </w:p>
    <w:p w14:paraId="5116E1F7" w14:textId="77777777" w:rsidR="00DB00FC" w:rsidRPr="00DB00FC" w:rsidRDefault="00DB00FC" w:rsidP="00DB00FC">
      <w:pPr>
        <w:outlineLvl w:val="0"/>
        <w:rPr>
          <w:rFonts w:ascii="Arial" w:eastAsia="Times New Roman" w:hAnsi="Arial" w:cs="Arial"/>
          <w:b/>
          <w:bCs/>
          <w:color w:val="282828"/>
          <w:kern w:val="36"/>
          <w:sz w:val="48"/>
          <w:szCs w:val="48"/>
          <w:lang w:eastAsia="fr-FR"/>
        </w:rPr>
      </w:pPr>
    </w:p>
    <w:p w14:paraId="4BCC8EC7" w14:textId="77777777" w:rsidR="00DB00FC" w:rsidRPr="00DB00FC" w:rsidRDefault="00DB00FC" w:rsidP="00DB00FC">
      <w:pPr>
        <w:jc w:val="both"/>
        <w:rPr>
          <w:rFonts w:ascii="Arial" w:eastAsia="Times New Roman" w:hAnsi="Arial" w:cs="Arial"/>
          <w:color w:val="2F5496" w:themeColor="accent1" w:themeShade="BF"/>
          <w:lang w:eastAsia="fr-FR"/>
        </w:rPr>
      </w:pPr>
      <w:r w:rsidRPr="00DB00FC">
        <w:rPr>
          <w:rFonts w:ascii="Arial" w:eastAsia="Times New Roman" w:hAnsi="Arial" w:cs="Arial"/>
          <w:color w:val="2F5496" w:themeColor="accent1" w:themeShade="BF"/>
          <w:lang w:eastAsia="fr-FR"/>
        </w:rPr>
        <w:t>Le concédant qui, constatant un manquement du concessionnaire, fait jouer la clause résolutoire de plein droit figurant au contrat peut obtenir une indemnité pour résiliation anticipée aux torts du concessionnaire quelle que soit la gravité du manquement commis.</w:t>
      </w:r>
    </w:p>
    <w:p w14:paraId="018E3BD8" w14:textId="77777777" w:rsidR="00DB00FC" w:rsidRPr="00DB00FC" w:rsidRDefault="00DB00FC" w:rsidP="00DB00FC">
      <w:pPr>
        <w:rPr>
          <w:rFonts w:ascii="Arial" w:eastAsia="Times New Roman" w:hAnsi="Arial" w:cs="Arial"/>
          <w:color w:val="2F5496" w:themeColor="accent1" w:themeShade="BF"/>
          <w:lang w:eastAsia="fr-FR"/>
        </w:rPr>
      </w:pPr>
    </w:p>
    <w:p w14:paraId="0C26E51F" w14:textId="3C0EE4C2" w:rsidR="00DB00FC" w:rsidRPr="00DB00FC" w:rsidRDefault="00DB00FC" w:rsidP="00DB00FC">
      <w:pPr>
        <w:spacing w:after="100" w:afterAutospacing="1"/>
        <w:jc w:val="both"/>
        <w:rPr>
          <w:rFonts w:ascii="Arial" w:eastAsia="Times New Roman" w:hAnsi="Arial" w:cs="Arial"/>
          <w:color w:val="2F5496" w:themeColor="accent1" w:themeShade="BF"/>
          <w:sz w:val="20"/>
          <w:szCs w:val="20"/>
          <w:lang w:eastAsia="fr-FR"/>
        </w:rPr>
      </w:pPr>
      <w:r w:rsidRPr="00DB00FC">
        <w:rPr>
          <w:rFonts w:ascii="Arial" w:eastAsia="Times New Roman" w:hAnsi="Arial" w:cs="Arial"/>
          <w:color w:val="2F5496" w:themeColor="accent1" w:themeShade="BF"/>
          <w:sz w:val="20"/>
          <w:szCs w:val="20"/>
          <w:lang w:eastAsia="fr-FR"/>
        </w:rPr>
        <w:t>Cass. com. 28-9-2022 n° 21-17.269 F-D, Sté P&amp;M distribution c/Sté Abris conseil</w:t>
      </w:r>
    </w:p>
    <w:p w14:paraId="4B309CEB" w14:textId="77777777" w:rsidR="00DB00FC" w:rsidRPr="00DB00FC" w:rsidRDefault="00DB00FC" w:rsidP="00DB00FC">
      <w:pPr>
        <w:rPr>
          <w:rFonts w:ascii="Arial" w:eastAsia="Times New Roman" w:hAnsi="Arial" w:cs="Arial"/>
          <w:color w:val="2F5496" w:themeColor="accent1" w:themeShade="BF"/>
          <w:sz w:val="20"/>
          <w:szCs w:val="20"/>
          <w:lang w:eastAsia="fr-FR"/>
        </w:rPr>
      </w:pPr>
      <w:r w:rsidRPr="00DB00FC">
        <w:rPr>
          <w:rFonts w:ascii="Arial" w:eastAsia="Times New Roman" w:hAnsi="Arial" w:cs="Arial"/>
          <w:color w:val="2F5496" w:themeColor="accent1" w:themeShade="BF"/>
          <w:sz w:val="20"/>
          <w:szCs w:val="20"/>
          <w:lang w:eastAsia="fr-FR"/>
        </w:rPr>
        <w:t>Par </w:t>
      </w:r>
      <w:r w:rsidRPr="00DB00FC">
        <w:rPr>
          <w:rFonts w:ascii="Arial" w:eastAsia="Times New Roman" w:hAnsi="Arial" w:cs="Arial"/>
          <w:b/>
          <w:bCs/>
          <w:color w:val="2F5496" w:themeColor="accent1" w:themeShade="BF"/>
          <w:sz w:val="20"/>
          <w:szCs w:val="20"/>
          <w:lang w:eastAsia="fr-FR"/>
        </w:rPr>
        <w:t>Vanessa VELIN</w:t>
      </w:r>
    </w:p>
    <w:p w14:paraId="2300C83A" w14:textId="77777777" w:rsidR="00DB00FC" w:rsidRPr="00DB00FC" w:rsidRDefault="00DB00FC" w:rsidP="00DB00FC">
      <w:pPr>
        <w:rPr>
          <w:rFonts w:ascii="Arial" w:eastAsia="Times New Roman" w:hAnsi="Arial" w:cs="Arial"/>
          <w:lang w:eastAsia="fr-FR"/>
        </w:rPr>
      </w:pPr>
    </w:p>
    <w:p w14:paraId="2C5CC2C3" w14:textId="6AE8543F" w:rsidR="00DB00FC" w:rsidRPr="00DB00FC" w:rsidRDefault="00DB00FC" w:rsidP="00DB00FC">
      <w:pPr>
        <w:spacing w:after="100" w:afterAutospacing="1"/>
        <w:outlineLvl w:val="0"/>
        <w:rPr>
          <w:rFonts w:ascii="Arial" w:hAnsi="Arial" w:cs="Arial"/>
        </w:rPr>
      </w:pPr>
      <w:r w:rsidRPr="00DB00FC">
        <w:rPr>
          <w:rFonts w:ascii="Arial" w:hAnsi="Arial" w:cs="Arial"/>
        </w:rPr>
        <w:fldChar w:fldCharType="begin"/>
      </w:r>
      <w:r w:rsidRPr="00DB00FC">
        <w:rPr>
          <w:rFonts w:ascii="Arial" w:hAnsi="Arial" w:cs="Arial"/>
        </w:rPr>
        <w:instrText xml:space="preserve"> INCLUDEPICTURE "/Users/mairadicoh/Library/Group Containers/UBF8T346G9.ms/WebArchiveCopyPasteTempFiles/com.microsoft.Word/d6806197-4eee-48ba-b159-64ee36eeb1f6_quoti-20221117-affaires.jpg" \* MERGEFORMATINET </w:instrText>
      </w:r>
      <w:r w:rsidRPr="00DB00FC">
        <w:rPr>
          <w:rFonts w:ascii="Arial" w:hAnsi="Arial" w:cs="Arial"/>
        </w:rPr>
        <w:fldChar w:fldCharType="separate"/>
      </w:r>
      <w:r w:rsidRPr="00DB00FC">
        <w:rPr>
          <w:rFonts w:ascii="Arial" w:hAnsi="Arial" w:cs="Arial"/>
          <w:noProof/>
        </w:rPr>
        <w:drawing>
          <wp:inline distT="0" distB="0" distL="0" distR="0" wp14:anchorId="4D4F7753" wp14:editId="116BBA56">
            <wp:extent cx="5760720" cy="301561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DB00FC">
        <w:rPr>
          <w:rFonts w:ascii="Arial" w:hAnsi="Arial" w:cs="Arial"/>
        </w:rPr>
        <w:fldChar w:fldCharType="end"/>
      </w:r>
      <w:r w:rsidRPr="00DB00FC">
        <w:rPr>
          <w:lang w:eastAsia="fr-FR"/>
        </w:rPr>
        <w:t xml:space="preserve"> </w:t>
      </w:r>
      <w:r w:rsidRPr="00DB00FC">
        <w:rPr>
          <w:rFonts w:ascii="Arial" w:hAnsi="Arial" w:cs="Arial"/>
          <w:sz w:val="21"/>
          <w:szCs w:val="21"/>
        </w:rPr>
        <w:t>Publié le 17/11/2022</w:t>
      </w:r>
    </w:p>
    <w:p w14:paraId="32406FD1" w14:textId="77777777" w:rsidR="00DB00FC" w:rsidRPr="00DB00FC" w:rsidRDefault="00DB00FC" w:rsidP="00DB00FC">
      <w:pPr>
        <w:pStyle w:val="NormalWeb"/>
        <w:spacing w:before="0" w:beforeAutospacing="0" w:line="360" w:lineRule="auto"/>
        <w:jc w:val="both"/>
        <w:rPr>
          <w:rFonts w:ascii="Arial" w:hAnsi="Arial" w:cs="Arial"/>
          <w:color w:val="30459D"/>
        </w:rPr>
      </w:pPr>
      <w:r w:rsidRPr="00DB00FC">
        <w:rPr>
          <w:rFonts w:ascii="Arial" w:hAnsi="Arial" w:cs="Arial"/>
          <w:color w:val="30459D"/>
        </w:rPr>
        <w:t>Un</w:t>
      </w:r>
      <w:r w:rsidRPr="00DB00FC">
        <w:rPr>
          <w:rStyle w:val="apple-converted-space"/>
          <w:rFonts w:ascii="Arial" w:hAnsi="Arial" w:cs="Arial"/>
          <w:color w:val="30459D"/>
        </w:rPr>
        <w:t> </w:t>
      </w:r>
      <w:r w:rsidRPr="00DB00FC">
        <w:rPr>
          <w:rStyle w:val="lev"/>
          <w:rFonts w:ascii="Arial" w:hAnsi="Arial" w:cs="Arial"/>
          <w:color w:val="30459D"/>
        </w:rPr>
        <w:t>contrat de distribution exclusive</w:t>
      </w:r>
      <w:r w:rsidRPr="00DB00FC">
        <w:rPr>
          <w:rStyle w:val="apple-converted-space"/>
          <w:rFonts w:ascii="Arial" w:hAnsi="Arial" w:cs="Arial"/>
          <w:color w:val="30459D"/>
        </w:rPr>
        <w:t> </w:t>
      </w:r>
      <w:r w:rsidRPr="00DB00FC">
        <w:rPr>
          <w:rFonts w:ascii="Arial" w:hAnsi="Arial" w:cs="Arial"/>
          <w:color w:val="30459D"/>
        </w:rPr>
        <w:t>d’abris de piscine octroie au concédant le droit de résilier le contrat par anticipation en cas de violation de l’un quelconque des engagements en résultant. Le contrat prévoit également qu’en cas de violation de la</w:t>
      </w:r>
      <w:r w:rsidRPr="00DB00FC">
        <w:rPr>
          <w:rStyle w:val="apple-converted-space"/>
          <w:rFonts w:ascii="Arial" w:hAnsi="Arial" w:cs="Arial"/>
          <w:color w:val="30459D"/>
        </w:rPr>
        <w:t> </w:t>
      </w:r>
      <w:r w:rsidRPr="00DB00FC">
        <w:rPr>
          <w:rStyle w:val="lev"/>
          <w:rFonts w:ascii="Arial" w:hAnsi="Arial" w:cs="Arial"/>
          <w:color w:val="30459D"/>
        </w:rPr>
        <w:t>clause d’exclusivité</w:t>
      </w:r>
      <w:r w:rsidRPr="00DB00FC">
        <w:rPr>
          <w:rFonts w:ascii="Arial" w:hAnsi="Arial" w:cs="Arial"/>
          <w:color w:val="30459D"/>
        </w:rPr>
        <w:t> qu'il contient, le concédant est en droit de résilier automatiquement le contrat aux torts du concessionnaire.</w:t>
      </w:r>
    </w:p>
    <w:p w14:paraId="6D0E6AAE" w14:textId="77777777" w:rsidR="00DB00FC" w:rsidRPr="00DB00FC" w:rsidRDefault="00DB00FC" w:rsidP="00DB00FC">
      <w:pPr>
        <w:pStyle w:val="NormalWeb"/>
        <w:spacing w:before="0" w:beforeAutospacing="0" w:line="360" w:lineRule="auto"/>
        <w:jc w:val="both"/>
        <w:rPr>
          <w:rFonts w:ascii="Arial" w:hAnsi="Arial" w:cs="Arial"/>
          <w:color w:val="30459D"/>
        </w:rPr>
      </w:pPr>
      <w:r w:rsidRPr="00DB00FC">
        <w:rPr>
          <w:rFonts w:ascii="Arial" w:hAnsi="Arial" w:cs="Arial"/>
          <w:color w:val="30459D"/>
        </w:rPr>
        <w:t>Invoquant un</w:t>
      </w:r>
      <w:r w:rsidRPr="00DB00FC">
        <w:rPr>
          <w:rStyle w:val="apple-converted-space"/>
          <w:rFonts w:ascii="Arial" w:hAnsi="Arial" w:cs="Arial"/>
          <w:color w:val="30459D"/>
        </w:rPr>
        <w:t> </w:t>
      </w:r>
      <w:r w:rsidRPr="00DB00FC">
        <w:rPr>
          <w:rStyle w:val="lev"/>
          <w:rFonts w:ascii="Arial" w:hAnsi="Arial" w:cs="Arial"/>
          <w:color w:val="30459D"/>
        </w:rPr>
        <w:t>manquement du concessionnaire</w:t>
      </w:r>
      <w:r w:rsidRPr="00DB00FC">
        <w:rPr>
          <w:rFonts w:ascii="Arial" w:hAnsi="Arial" w:cs="Arial"/>
          <w:color w:val="30459D"/>
        </w:rPr>
        <w:t> à l’interdiction qui lui a été faite de vendre des abris de piscine de marques concurrentes, le concédant le met en demeure de se conformer aux stipulations contractuelles dans un délai d’un mois. Puis, il résilie unilatéralement le contrat aux torts du concessionnaire et le poursuit en justice pour obtenir une indemnisation du fait de la résiliation anticipée du contrat.</w:t>
      </w:r>
    </w:p>
    <w:p w14:paraId="5D1F9988" w14:textId="77777777" w:rsidR="00DB00FC" w:rsidRPr="00DB00FC" w:rsidRDefault="00DB00FC" w:rsidP="00DB00FC">
      <w:pPr>
        <w:pStyle w:val="NormalWeb"/>
        <w:spacing w:before="0" w:beforeAutospacing="0" w:line="360" w:lineRule="auto"/>
        <w:jc w:val="both"/>
        <w:rPr>
          <w:rFonts w:ascii="Arial" w:hAnsi="Arial" w:cs="Arial"/>
          <w:color w:val="30459D"/>
        </w:rPr>
      </w:pPr>
      <w:r w:rsidRPr="00DB00FC">
        <w:rPr>
          <w:rFonts w:ascii="Arial" w:hAnsi="Arial" w:cs="Arial"/>
          <w:color w:val="30459D"/>
        </w:rPr>
        <w:lastRenderedPageBreak/>
        <w:t>Estimant que le manquement du concessionnaire ne présentait pas une</w:t>
      </w:r>
      <w:r w:rsidRPr="00DB00FC">
        <w:rPr>
          <w:rStyle w:val="apple-converted-space"/>
          <w:rFonts w:ascii="Arial" w:hAnsi="Arial" w:cs="Arial"/>
          <w:color w:val="30459D"/>
        </w:rPr>
        <w:t> </w:t>
      </w:r>
      <w:r w:rsidRPr="00DB00FC">
        <w:rPr>
          <w:rStyle w:val="lev"/>
          <w:rFonts w:ascii="Arial" w:hAnsi="Arial" w:cs="Arial"/>
          <w:color w:val="30459D"/>
        </w:rPr>
        <w:t>gravité suffisante</w:t>
      </w:r>
      <w:r w:rsidRPr="00DB00FC">
        <w:rPr>
          <w:rFonts w:ascii="Arial" w:hAnsi="Arial" w:cs="Arial"/>
          <w:color w:val="30459D"/>
        </w:rPr>
        <w:t>, une cour d’appel refuse de constater la résolution du contrat aux torts exclusifs de celui-ci.</w:t>
      </w:r>
    </w:p>
    <w:p w14:paraId="2051EE38" w14:textId="77777777" w:rsidR="00DB00FC" w:rsidRPr="00DB00FC" w:rsidRDefault="00DB00FC" w:rsidP="00DB00FC">
      <w:pPr>
        <w:pStyle w:val="NormalWeb"/>
        <w:spacing w:before="0" w:beforeAutospacing="0" w:line="360" w:lineRule="auto"/>
        <w:jc w:val="both"/>
        <w:rPr>
          <w:rFonts w:ascii="Arial" w:hAnsi="Arial" w:cs="Arial"/>
          <w:color w:val="30459D"/>
        </w:rPr>
      </w:pPr>
      <w:r w:rsidRPr="00DB00FC">
        <w:rPr>
          <w:rFonts w:ascii="Arial" w:hAnsi="Arial" w:cs="Arial"/>
          <w:color w:val="30459D"/>
        </w:rPr>
        <w:t>Cette décision est censurée par la Haute Juridiction : à défaut de stipulation en ce sens, il n’appartient pas au juge d’apprécier la mise en œuvre d’une clause prévoyant la résolution de plein droit du contrat en cas d’inexécution par l’une des parties de l’une quelconque de ses obligations.</w:t>
      </w:r>
    </w:p>
    <w:p w14:paraId="022C9ED5" w14:textId="77777777" w:rsidR="00DB00FC" w:rsidRPr="00DB00FC" w:rsidRDefault="00DB00FC" w:rsidP="00DB00FC">
      <w:pPr>
        <w:pStyle w:val="Titre3"/>
        <w:spacing w:line="360" w:lineRule="auto"/>
        <w:rPr>
          <w:rFonts w:ascii="Arial" w:hAnsi="Arial" w:cs="Arial"/>
          <w:color w:val="30459D"/>
        </w:rPr>
      </w:pPr>
      <w:r w:rsidRPr="00DB00FC">
        <w:rPr>
          <w:rFonts w:ascii="Arial" w:hAnsi="Arial" w:cs="Arial"/>
          <w:b/>
          <w:bCs/>
          <w:color w:val="30459D"/>
        </w:rPr>
        <w:t>A noter :</w:t>
      </w:r>
    </w:p>
    <w:p w14:paraId="04D6059C" w14:textId="77777777" w:rsidR="00DB00FC" w:rsidRPr="00DB00FC" w:rsidRDefault="00DB00FC" w:rsidP="00DB00FC">
      <w:pPr>
        <w:pStyle w:val="NormalWeb"/>
        <w:spacing w:before="0" w:beforeAutospacing="0" w:line="360" w:lineRule="auto"/>
        <w:jc w:val="both"/>
        <w:rPr>
          <w:rFonts w:ascii="Arial" w:hAnsi="Arial" w:cs="Arial"/>
          <w:color w:val="30459D"/>
        </w:rPr>
      </w:pPr>
      <w:r w:rsidRPr="00DB00FC">
        <w:rPr>
          <w:rFonts w:ascii="Arial" w:hAnsi="Arial" w:cs="Arial"/>
          <w:color w:val="30459D"/>
        </w:rPr>
        <w:t>Le contrat est la</w:t>
      </w:r>
      <w:r w:rsidRPr="00DB00FC">
        <w:rPr>
          <w:rStyle w:val="apple-converted-space"/>
          <w:rFonts w:ascii="Arial" w:hAnsi="Arial" w:cs="Arial"/>
          <w:color w:val="30459D"/>
        </w:rPr>
        <w:t> </w:t>
      </w:r>
      <w:r w:rsidRPr="00DB00FC">
        <w:rPr>
          <w:rStyle w:val="lev"/>
          <w:rFonts w:ascii="Arial" w:hAnsi="Arial" w:cs="Arial"/>
          <w:color w:val="30459D"/>
        </w:rPr>
        <w:t>loi des parties</w:t>
      </w:r>
      <w:r w:rsidRPr="00DB00FC">
        <w:rPr>
          <w:rFonts w:ascii="Arial" w:hAnsi="Arial" w:cs="Arial"/>
          <w:color w:val="30459D"/>
        </w:rPr>
        <w:t>. Ainsi, en présence d’une clause résolutoire, elles ont la possibilité d’écarter la mise en demeure et de décider que la résolution résulte du seul fait de l’inexécution (voir</w:t>
      </w:r>
      <w:r w:rsidRPr="00DB00FC">
        <w:rPr>
          <w:rStyle w:val="apple-converted-space"/>
          <w:rFonts w:ascii="Arial" w:hAnsi="Arial" w:cs="Arial"/>
          <w:color w:val="30459D"/>
        </w:rPr>
        <w:t> </w:t>
      </w:r>
      <w:hyperlink r:id="rId5" w:tgtFrame="_blank" w:history="1">
        <w:r w:rsidRPr="00DB00FC">
          <w:rPr>
            <w:rStyle w:val="Lienhypertexte"/>
            <w:rFonts w:ascii="Arial" w:eastAsiaTheme="majorEastAsia" w:hAnsi="Arial" w:cs="Arial"/>
            <w:color w:val="30459D"/>
          </w:rPr>
          <w:t>C. civ. art. 1225, al. 2</w:t>
        </w:r>
      </w:hyperlink>
      <w:r w:rsidRPr="00DB00FC">
        <w:rPr>
          <w:rFonts w:ascii="Arial" w:hAnsi="Arial" w:cs="Arial"/>
          <w:color w:val="30459D"/>
        </w:rPr>
        <w:t>). Dans le même sens, la clause résolutoire peut être mise en jeu et entraîner la résolution du contrat dès que survient la cause de résolution prévue et même si le</w:t>
      </w:r>
      <w:r w:rsidRPr="00DB00FC">
        <w:rPr>
          <w:rStyle w:val="apple-converted-space"/>
          <w:rFonts w:ascii="Arial" w:hAnsi="Arial" w:cs="Arial"/>
          <w:color w:val="30459D"/>
        </w:rPr>
        <w:t> </w:t>
      </w:r>
      <w:r w:rsidRPr="00DB00FC">
        <w:rPr>
          <w:rStyle w:val="lev"/>
          <w:rFonts w:ascii="Arial" w:hAnsi="Arial" w:cs="Arial"/>
          <w:color w:val="30459D"/>
        </w:rPr>
        <w:t>manquement</w:t>
      </w:r>
      <w:r w:rsidRPr="00DB00FC">
        <w:rPr>
          <w:rStyle w:val="apple-converted-space"/>
          <w:rFonts w:ascii="Arial" w:hAnsi="Arial" w:cs="Arial"/>
          <w:color w:val="30459D"/>
        </w:rPr>
        <w:t> </w:t>
      </w:r>
      <w:r w:rsidRPr="00DB00FC">
        <w:rPr>
          <w:rFonts w:ascii="Arial" w:hAnsi="Arial" w:cs="Arial"/>
          <w:color w:val="30459D"/>
        </w:rPr>
        <w:t>est</w:t>
      </w:r>
      <w:r w:rsidRPr="00DB00FC">
        <w:rPr>
          <w:rStyle w:val="apple-converted-space"/>
          <w:rFonts w:ascii="Arial" w:hAnsi="Arial" w:cs="Arial"/>
          <w:color w:val="30459D"/>
        </w:rPr>
        <w:t> </w:t>
      </w:r>
      <w:r w:rsidRPr="00DB00FC">
        <w:rPr>
          <w:rStyle w:val="lev"/>
          <w:rFonts w:ascii="Arial" w:hAnsi="Arial" w:cs="Arial"/>
          <w:color w:val="30459D"/>
        </w:rPr>
        <w:t>minime</w:t>
      </w:r>
      <w:r w:rsidRPr="00DB00FC">
        <w:rPr>
          <w:rFonts w:ascii="Arial" w:hAnsi="Arial" w:cs="Arial"/>
          <w:color w:val="30459D"/>
        </w:rPr>
        <w:t>. Par exemple, jugé, à propos d’un bail commercial, que le bénéfice d'une clause résolutoire prévoyant la résiliation de plein droit du bail, un mois après mise en demeure, en cas de persistance du manquement par le locataire à l’une des obligations stipulées au bail et rappelée au commandement, est acquis sans que le juge n’ait à apprécier la gravité du manquement contractuel (Cass. 3</w:t>
      </w:r>
      <w:r w:rsidRPr="00DB00FC">
        <w:rPr>
          <w:rFonts w:ascii="Arial" w:hAnsi="Arial" w:cs="Arial"/>
          <w:color w:val="30459D"/>
          <w:sz w:val="19"/>
          <w:szCs w:val="19"/>
          <w:vertAlign w:val="superscript"/>
        </w:rPr>
        <w:t>e</w:t>
      </w:r>
      <w:r w:rsidRPr="00DB00FC">
        <w:rPr>
          <w:rStyle w:val="apple-converted-space"/>
          <w:rFonts w:ascii="Arial" w:hAnsi="Arial" w:cs="Arial"/>
          <w:color w:val="30459D"/>
        </w:rPr>
        <w:t> </w:t>
      </w:r>
      <w:r w:rsidRPr="00DB00FC">
        <w:rPr>
          <w:rFonts w:ascii="Arial" w:hAnsi="Arial" w:cs="Arial"/>
          <w:color w:val="30459D"/>
        </w:rPr>
        <w:t>civ. 5-10-2017 n°15-25.018 F-D : RJDA 4/18 n° 303).</w:t>
      </w:r>
    </w:p>
    <w:p w14:paraId="21A1D5F1" w14:textId="77777777" w:rsidR="00DB00FC" w:rsidRPr="00DB00FC" w:rsidRDefault="00DB00FC" w:rsidP="00DB00FC">
      <w:pPr>
        <w:pStyle w:val="NormalWeb"/>
        <w:spacing w:before="0" w:beforeAutospacing="0" w:line="360" w:lineRule="auto"/>
        <w:jc w:val="both"/>
        <w:rPr>
          <w:rFonts w:ascii="Arial" w:hAnsi="Arial" w:cs="Arial"/>
          <w:color w:val="30459D"/>
        </w:rPr>
      </w:pPr>
      <w:r w:rsidRPr="00DB00FC">
        <w:rPr>
          <w:rFonts w:ascii="Arial" w:hAnsi="Arial" w:cs="Arial"/>
          <w:color w:val="30459D"/>
        </w:rPr>
        <w:t>La décision commentée rappelle cette solution en matière de contrat de distribution. Dès lors que ses conditions d'application sont remplies, la</w:t>
      </w:r>
      <w:r w:rsidRPr="00DB00FC">
        <w:rPr>
          <w:rStyle w:val="apple-converted-space"/>
          <w:rFonts w:ascii="Arial" w:hAnsi="Arial" w:cs="Arial"/>
          <w:color w:val="30459D"/>
        </w:rPr>
        <w:t> </w:t>
      </w:r>
      <w:r w:rsidRPr="00DB00FC">
        <w:rPr>
          <w:rStyle w:val="lev"/>
          <w:rFonts w:ascii="Arial" w:hAnsi="Arial" w:cs="Arial"/>
          <w:color w:val="30459D"/>
        </w:rPr>
        <w:t>clause résolutoire s'impose</w:t>
      </w:r>
      <w:r w:rsidRPr="00DB00FC">
        <w:rPr>
          <w:rStyle w:val="apple-converted-space"/>
          <w:rFonts w:ascii="Arial" w:hAnsi="Arial" w:cs="Arial"/>
          <w:color w:val="30459D"/>
        </w:rPr>
        <w:t> </w:t>
      </w:r>
      <w:r w:rsidRPr="00DB00FC">
        <w:rPr>
          <w:rFonts w:ascii="Arial" w:hAnsi="Arial" w:cs="Arial"/>
          <w:color w:val="30459D"/>
        </w:rPr>
        <w:t>au juge.</w:t>
      </w:r>
    </w:p>
    <w:p w14:paraId="589945B9" w14:textId="77777777" w:rsidR="00DB00FC" w:rsidRPr="00DB00FC" w:rsidRDefault="00DB00FC" w:rsidP="00DB00FC">
      <w:pPr>
        <w:rPr>
          <w:rFonts w:ascii="Arial" w:hAnsi="Arial" w:cs="Arial"/>
          <w:color w:val="30459D"/>
        </w:rPr>
      </w:pPr>
    </w:p>
    <w:p w14:paraId="60F660EE" w14:textId="77777777" w:rsidR="00DB00FC" w:rsidRPr="00DB00FC" w:rsidRDefault="00DB00FC" w:rsidP="00DB00FC">
      <w:pPr>
        <w:spacing w:after="100" w:afterAutospacing="1"/>
        <w:outlineLvl w:val="0"/>
        <w:rPr>
          <w:rFonts w:ascii="Arial" w:eastAsia="Times New Roman" w:hAnsi="Arial" w:cs="Arial"/>
          <w:b/>
          <w:bCs/>
          <w:color w:val="282828"/>
          <w:kern w:val="36"/>
          <w:sz w:val="48"/>
          <w:szCs w:val="48"/>
          <w:lang w:eastAsia="fr-FR"/>
        </w:rPr>
      </w:pPr>
    </w:p>
    <w:p w14:paraId="359785C9" w14:textId="77777777" w:rsidR="00DB00FC" w:rsidRPr="00DB00FC" w:rsidRDefault="00DB00FC" w:rsidP="00DB00FC">
      <w:pPr>
        <w:rPr>
          <w:rFonts w:ascii="Arial" w:hAnsi="Arial" w:cs="Arial"/>
        </w:rPr>
      </w:pPr>
    </w:p>
    <w:sectPr w:rsidR="00DB00FC" w:rsidRPr="00DB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FC"/>
    <w:rsid w:val="002E356C"/>
    <w:rsid w:val="00D873B0"/>
    <w:rsid w:val="00DB0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26ADC6"/>
  <w15:chartTrackingRefBased/>
  <w15:docId w15:val="{BB88A0D3-5549-0A4B-B478-D4205895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B00F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DB00F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00F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B00F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B00FC"/>
    <w:rPr>
      <w:color w:val="0000FF"/>
      <w:u w:val="single"/>
    </w:rPr>
  </w:style>
  <w:style w:type="character" w:customStyle="1" w:styleId="apple-converted-space">
    <w:name w:val="apple-converted-space"/>
    <w:basedOn w:val="Policepardfaut"/>
    <w:rsid w:val="00DB00FC"/>
  </w:style>
  <w:style w:type="character" w:styleId="lev">
    <w:name w:val="Strong"/>
    <w:basedOn w:val="Policepardfaut"/>
    <w:uiPriority w:val="22"/>
    <w:qFormat/>
    <w:rsid w:val="00DB00FC"/>
    <w:rPr>
      <w:b/>
      <w:bCs/>
    </w:rPr>
  </w:style>
  <w:style w:type="character" w:customStyle="1" w:styleId="Titre3Car">
    <w:name w:val="Titre 3 Car"/>
    <w:basedOn w:val="Policepardfaut"/>
    <w:link w:val="Titre3"/>
    <w:uiPriority w:val="9"/>
    <w:semiHidden/>
    <w:rsid w:val="00DB00F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506">
      <w:bodyDiv w:val="1"/>
      <w:marLeft w:val="0"/>
      <w:marRight w:val="0"/>
      <w:marTop w:val="0"/>
      <w:marBottom w:val="0"/>
      <w:divBdr>
        <w:top w:val="none" w:sz="0" w:space="0" w:color="auto"/>
        <w:left w:val="none" w:sz="0" w:space="0" w:color="auto"/>
        <w:bottom w:val="none" w:sz="0" w:space="0" w:color="auto"/>
        <w:right w:val="none" w:sz="0" w:space="0" w:color="auto"/>
      </w:divBdr>
      <w:divsChild>
        <w:div w:id="110787653">
          <w:marLeft w:val="0"/>
          <w:marRight w:val="0"/>
          <w:marTop w:val="0"/>
          <w:marBottom w:val="0"/>
          <w:divBdr>
            <w:top w:val="none" w:sz="0" w:space="0" w:color="auto"/>
            <w:left w:val="none" w:sz="0" w:space="0" w:color="auto"/>
            <w:bottom w:val="none" w:sz="0" w:space="0" w:color="auto"/>
            <w:right w:val="none" w:sz="0" w:space="0" w:color="auto"/>
          </w:divBdr>
        </w:div>
      </w:divsChild>
    </w:div>
    <w:div w:id="1342078388">
      <w:bodyDiv w:val="1"/>
      <w:marLeft w:val="0"/>
      <w:marRight w:val="0"/>
      <w:marTop w:val="0"/>
      <w:marBottom w:val="0"/>
      <w:divBdr>
        <w:top w:val="none" w:sz="0" w:space="0" w:color="auto"/>
        <w:left w:val="none" w:sz="0" w:space="0" w:color="auto"/>
        <w:bottom w:val="none" w:sz="0" w:space="0" w:color="auto"/>
        <w:right w:val="none" w:sz="0" w:space="0" w:color="auto"/>
      </w:divBdr>
    </w:div>
    <w:div w:id="1758821444">
      <w:bodyDiv w:val="1"/>
      <w:marLeft w:val="0"/>
      <w:marRight w:val="0"/>
      <w:marTop w:val="0"/>
      <w:marBottom w:val="0"/>
      <w:divBdr>
        <w:top w:val="none" w:sz="0" w:space="0" w:color="auto"/>
        <w:left w:val="none" w:sz="0" w:space="0" w:color="auto"/>
        <w:bottom w:val="none" w:sz="0" w:space="0" w:color="auto"/>
        <w:right w:val="none" w:sz="0" w:space="0" w:color="auto"/>
      </w:divBdr>
    </w:div>
    <w:div w:id="2008092026">
      <w:bodyDiv w:val="1"/>
      <w:marLeft w:val="0"/>
      <w:marRight w:val="0"/>
      <w:marTop w:val="0"/>
      <w:marBottom w:val="0"/>
      <w:divBdr>
        <w:top w:val="none" w:sz="0" w:space="0" w:color="auto"/>
        <w:left w:val="none" w:sz="0" w:space="0" w:color="auto"/>
        <w:bottom w:val="none" w:sz="0" w:space="0" w:color="auto"/>
        <w:right w:val="none" w:sz="0" w:space="0" w:color="auto"/>
      </w:divBdr>
      <w:divsChild>
        <w:div w:id="754739248">
          <w:marLeft w:val="0"/>
          <w:marRight w:val="0"/>
          <w:marTop w:val="0"/>
          <w:marBottom w:val="0"/>
          <w:divBdr>
            <w:top w:val="none" w:sz="0" w:space="0" w:color="auto"/>
            <w:left w:val="single" w:sz="6" w:space="0" w:color="293BA2"/>
            <w:bottom w:val="none" w:sz="0" w:space="0" w:color="auto"/>
            <w:right w:val="none" w:sz="0" w:space="0" w:color="auto"/>
          </w:divBdr>
        </w:div>
        <w:div w:id="374237138">
          <w:marLeft w:val="0"/>
          <w:marRight w:val="0"/>
          <w:marTop w:val="0"/>
          <w:marBottom w:val="0"/>
          <w:divBdr>
            <w:top w:val="none" w:sz="0" w:space="0" w:color="auto"/>
            <w:left w:val="none" w:sz="0" w:space="0" w:color="auto"/>
            <w:bottom w:val="none" w:sz="0" w:space="0" w:color="auto"/>
            <w:right w:val="none" w:sz="0" w:space="0" w:color="auto"/>
          </w:divBdr>
        </w:div>
        <w:div w:id="152840988">
          <w:marLeft w:val="0"/>
          <w:marRight w:val="0"/>
          <w:marTop w:val="0"/>
          <w:marBottom w:val="0"/>
          <w:divBdr>
            <w:top w:val="single" w:sz="6" w:space="0" w:color="293BA2"/>
            <w:left w:val="single" w:sz="6" w:space="0" w:color="293BA2"/>
            <w:bottom w:val="single" w:sz="6" w:space="0" w:color="293BA2"/>
            <w:right w:val="single" w:sz="6" w:space="0" w:color="293BA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codes/article_lc/LEGIARTI000032041477"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1</cp:revision>
  <dcterms:created xsi:type="dcterms:W3CDTF">2022-11-18T13:22:00Z</dcterms:created>
  <dcterms:modified xsi:type="dcterms:W3CDTF">2022-11-18T13:36:00Z</dcterms:modified>
</cp:coreProperties>
</file>