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196C" w14:textId="7A3968E5" w:rsidR="00C53BEC" w:rsidRPr="00C53BEC" w:rsidRDefault="00C53BEC" w:rsidP="00C53BEC">
      <w:pPr>
        <w:spacing w:after="100" w:afterAutospacing="1" w:line="900" w:lineRule="atLeast"/>
        <w:outlineLvl w:val="0"/>
        <w:rPr>
          <w:rFonts w:ascii="Arial" w:eastAsia="Times New Roman" w:hAnsi="Arial" w:cs="Arial"/>
          <w:color w:val="293BA2"/>
          <w:sz w:val="36"/>
          <w:szCs w:val="36"/>
          <w:lang w:eastAsia="fr-FR"/>
        </w:rPr>
      </w:pPr>
      <w:r w:rsidRPr="002412FD">
        <w:rPr>
          <w:rFonts w:ascii="Arial" w:eastAsia="Times New Roman" w:hAnsi="Arial" w:cs="Arial"/>
          <w:b/>
          <w:bCs/>
          <w:color w:val="293BA2"/>
          <w:sz w:val="36"/>
          <w:szCs w:val="36"/>
          <w:lang w:eastAsia="fr-FR"/>
        </w:rPr>
        <w:t>…</w:t>
      </w:r>
      <w:r w:rsidRPr="00843C4F">
        <w:rPr>
          <w:rFonts w:ascii="Arial" w:eastAsia="Times New Roman" w:hAnsi="Arial" w:cs="Arial"/>
          <w:b/>
          <w:bCs/>
          <w:color w:val="293BA2"/>
          <w:sz w:val="36"/>
          <w:szCs w:val="36"/>
          <w:lang w:eastAsia="fr-FR"/>
        </w:rPr>
        <w:t>FISCAL – CFE/CVAE</w:t>
      </w:r>
    </w:p>
    <w:p w14:paraId="05B78960" w14:textId="4F6DB654" w:rsidR="00C53BEC" w:rsidRDefault="00C53BEC" w:rsidP="00C53BEC">
      <w:pPr>
        <w:outlineLvl w:val="0"/>
        <w:rPr>
          <w:rFonts w:ascii="Arial" w:eastAsia="Times New Roman" w:hAnsi="Arial" w:cs="Arial"/>
          <w:color w:val="EB6A27"/>
          <w:sz w:val="32"/>
          <w:szCs w:val="32"/>
          <w:lang w:eastAsia="fr-FR"/>
        </w:rPr>
      </w:pPr>
      <w:r w:rsidRPr="00C53BEC">
        <w:rPr>
          <w:rFonts w:ascii="Arial" w:eastAsia="Times New Roman" w:hAnsi="Arial" w:cs="Arial"/>
          <w:color w:val="EB6A27"/>
          <w:sz w:val="32"/>
          <w:szCs w:val="32"/>
          <w:lang w:eastAsia="fr-FR"/>
        </w:rPr>
        <w:t>CFE : la vente de produits agricoles achetés pour une part importante auprès de tiers n’est pas exonérée</w:t>
      </w:r>
    </w:p>
    <w:p w14:paraId="3EF88A75" w14:textId="77777777" w:rsidR="00C53BEC" w:rsidRPr="00C53BEC" w:rsidRDefault="00C53BEC" w:rsidP="00C53BEC">
      <w:pPr>
        <w:outlineLvl w:val="0"/>
        <w:rPr>
          <w:rFonts w:ascii="Arial" w:eastAsia="Times New Roman" w:hAnsi="Arial" w:cs="Arial"/>
          <w:b/>
          <w:bCs/>
          <w:color w:val="282828"/>
          <w:kern w:val="36"/>
          <w:sz w:val="48"/>
          <w:szCs w:val="48"/>
          <w:lang w:eastAsia="fr-FR"/>
        </w:rPr>
      </w:pPr>
    </w:p>
    <w:p w14:paraId="6D1DDEA5" w14:textId="273BBDA1" w:rsidR="00C53BEC" w:rsidRPr="00C53BEC" w:rsidRDefault="00C53BEC" w:rsidP="00C53BEC">
      <w:pPr>
        <w:spacing w:line="360" w:lineRule="auto"/>
        <w:jc w:val="both"/>
        <w:rPr>
          <w:rFonts w:ascii="Arial" w:eastAsia="Times New Roman" w:hAnsi="Arial" w:cs="Arial"/>
          <w:color w:val="2F5496" w:themeColor="accent1" w:themeShade="BF"/>
          <w:lang w:eastAsia="fr-FR"/>
        </w:rPr>
      </w:pPr>
      <w:r w:rsidRPr="00C53BEC">
        <w:rPr>
          <w:rFonts w:ascii="Arial" w:eastAsia="Times New Roman" w:hAnsi="Arial" w:cs="Arial"/>
          <w:color w:val="2F5496" w:themeColor="accent1" w:themeShade="BF"/>
          <w:lang w:eastAsia="fr-FR"/>
        </w:rPr>
        <w:t>Ne bénéficie pas de l'exonération de cotisation foncière des entreprises (CFE) une société qui commercialise des produits agricoles dès lors que le prix d'acquisition de ces produits auprès de tiers représente environ 30 % de son chiffre d'affaires.</w:t>
      </w:r>
    </w:p>
    <w:p w14:paraId="39E68176" w14:textId="77777777" w:rsidR="00C53BEC" w:rsidRPr="00C53BEC" w:rsidRDefault="00C53BEC" w:rsidP="00C53BEC">
      <w:pPr>
        <w:spacing w:line="525" w:lineRule="atLeast"/>
        <w:jc w:val="both"/>
        <w:rPr>
          <w:rFonts w:ascii="Arial" w:eastAsia="Times New Roman" w:hAnsi="Arial" w:cs="Arial"/>
          <w:color w:val="2F5496" w:themeColor="accent1" w:themeShade="BF"/>
          <w:lang w:eastAsia="fr-FR"/>
        </w:rPr>
      </w:pPr>
    </w:p>
    <w:p w14:paraId="593755DC" w14:textId="77777777" w:rsidR="00C53BEC" w:rsidRPr="00C53BEC" w:rsidRDefault="00C53BEC" w:rsidP="00C53BEC">
      <w:pPr>
        <w:jc w:val="both"/>
        <w:rPr>
          <w:rFonts w:ascii="Arial" w:eastAsia="Times New Roman" w:hAnsi="Arial" w:cs="Arial"/>
          <w:color w:val="2F5496" w:themeColor="accent1" w:themeShade="BF"/>
          <w:sz w:val="20"/>
          <w:szCs w:val="21"/>
          <w:lang w:eastAsia="fr-FR"/>
        </w:rPr>
      </w:pPr>
      <w:r w:rsidRPr="00C53BEC">
        <w:rPr>
          <w:rFonts w:ascii="Arial" w:eastAsia="Times New Roman" w:hAnsi="Arial" w:cs="Arial"/>
          <w:color w:val="2F5496" w:themeColor="accent1" w:themeShade="BF"/>
          <w:sz w:val="20"/>
          <w:szCs w:val="21"/>
          <w:lang w:eastAsia="fr-FR"/>
        </w:rPr>
        <w:t>CE 20-9-2022 n° 461477</w:t>
      </w:r>
      <w:r w:rsidRPr="00C53BEC">
        <w:rPr>
          <w:rFonts w:ascii="Arial" w:eastAsia="Times New Roman" w:hAnsi="Arial" w:cs="Arial"/>
          <w:color w:val="2F5496" w:themeColor="accent1" w:themeShade="BF"/>
          <w:sz w:val="20"/>
          <w:szCs w:val="21"/>
          <w:lang w:eastAsia="fr-FR"/>
        </w:rPr>
        <w:t xml:space="preserve"> </w:t>
      </w:r>
    </w:p>
    <w:p w14:paraId="41677157" w14:textId="231F012A" w:rsidR="00C53BEC" w:rsidRPr="00C53BEC" w:rsidRDefault="00C53BEC" w:rsidP="00C53BEC">
      <w:pPr>
        <w:jc w:val="both"/>
        <w:rPr>
          <w:rFonts w:ascii="Arial" w:eastAsia="Times New Roman" w:hAnsi="Arial" w:cs="Arial"/>
          <w:b/>
          <w:bCs/>
          <w:color w:val="2F5496" w:themeColor="accent1" w:themeShade="BF"/>
          <w:sz w:val="23"/>
          <w:szCs w:val="22"/>
          <w:lang w:eastAsia="fr-FR"/>
        </w:rPr>
      </w:pPr>
      <w:r w:rsidRPr="00C53BEC">
        <w:rPr>
          <w:rFonts w:ascii="Arial" w:eastAsia="Times New Roman" w:hAnsi="Arial" w:cs="Arial"/>
          <w:color w:val="2F5496" w:themeColor="accent1" w:themeShade="BF"/>
          <w:sz w:val="23"/>
          <w:szCs w:val="22"/>
          <w:lang w:eastAsia="fr-FR"/>
        </w:rPr>
        <w:t>Par </w:t>
      </w:r>
      <w:r w:rsidRPr="00C53BEC">
        <w:rPr>
          <w:rFonts w:ascii="Arial" w:eastAsia="Times New Roman" w:hAnsi="Arial" w:cs="Arial"/>
          <w:b/>
          <w:bCs/>
          <w:color w:val="2F5496" w:themeColor="accent1" w:themeShade="BF"/>
          <w:sz w:val="21"/>
          <w:szCs w:val="21"/>
          <w:lang w:eastAsia="fr-FR"/>
        </w:rPr>
        <w:t>Grégory HENRIOT</w:t>
      </w:r>
    </w:p>
    <w:p w14:paraId="777C616D" w14:textId="77777777" w:rsidR="00C53BEC" w:rsidRPr="00C53BEC" w:rsidRDefault="00C53BEC" w:rsidP="00C53BEC">
      <w:pPr>
        <w:jc w:val="both"/>
        <w:rPr>
          <w:rFonts w:ascii="Arial" w:eastAsia="Times New Roman" w:hAnsi="Arial" w:cs="Arial"/>
          <w:color w:val="2F5496" w:themeColor="accent1" w:themeShade="BF"/>
          <w:sz w:val="20"/>
          <w:szCs w:val="21"/>
          <w:lang w:eastAsia="fr-FR"/>
        </w:rPr>
      </w:pPr>
    </w:p>
    <w:p w14:paraId="3873FF5B" w14:textId="0ECAE89C" w:rsidR="00C53BEC" w:rsidRPr="00C53BEC" w:rsidRDefault="00C53BEC" w:rsidP="00C53BEC">
      <w:pPr>
        <w:rPr>
          <w:rFonts w:ascii="Arial" w:eastAsia="Times New Roman" w:hAnsi="Arial" w:cs="Arial"/>
          <w:lang w:eastAsia="fr-FR"/>
        </w:rPr>
      </w:pPr>
      <w:r w:rsidRPr="00C53BEC">
        <w:rPr>
          <w:rFonts w:ascii="Arial" w:eastAsia="Times New Roman" w:hAnsi="Arial" w:cs="Arial"/>
          <w:lang w:eastAsia="fr-FR"/>
        </w:rPr>
        <w:fldChar w:fldCharType="begin"/>
      </w:r>
      <w:r w:rsidRPr="00C53BEC">
        <w:rPr>
          <w:rFonts w:ascii="Arial" w:eastAsia="Times New Roman" w:hAnsi="Arial" w:cs="Arial"/>
          <w:lang w:eastAsia="fr-FR"/>
        </w:rPr>
        <w:instrText xml:space="preserve"> INCLUDEPICTURE "/Users/mairadicoh/Library/Group Containers/UBF8T346G9.ms/WebArchiveCopyPasteTempFiles/com.microsoft.Word/f249a288-6190-4011-b84c-872250cced48_quoti-20221118-fiscal.jpg" \* MERGEFORMATINET </w:instrText>
      </w:r>
      <w:r w:rsidRPr="00C53BEC">
        <w:rPr>
          <w:rFonts w:ascii="Arial" w:eastAsia="Times New Roman" w:hAnsi="Arial" w:cs="Arial"/>
          <w:lang w:eastAsia="fr-FR"/>
        </w:rPr>
        <w:fldChar w:fldCharType="separate"/>
      </w:r>
      <w:r w:rsidRPr="00C53BEC">
        <w:rPr>
          <w:rFonts w:ascii="Arial" w:eastAsia="Times New Roman" w:hAnsi="Arial" w:cs="Arial"/>
          <w:noProof/>
          <w:lang w:eastAsia="fr-FR"/>
        </w:rPr>
        <w:drawing>
          <wp:inline distT="0" distB="0" distL="0" distR="0" wp14:anchorId="365762F0" wp14:editId="325F420D">
            <wp:extent cx="5760720" cy="301561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C53BEC">
        <w:rPr>
          <w:rFonts w:ascii="Arial" w:eastAsia="Times New Roman" w:hAnsi="Arial" w:cs="Arial"/>
          <w:lang w:eastAsia="fr-FR"/>
        </w:rPr>
        <w:fldChar w:fldCharType="end"/>
      </w:r>
    </w:p>
    <w:p w14:paraId="194A6478" w14:textId="7289B042" w:rsidR="00C53BEC" w:rsidRPr="00C53BEC" w:rsidRDefault="00C53BEC" w:rsidP="00C53BEC">
      <w:pPr>
        <w:rPr>
          <w:rFonts w:ascii="Arial" w:eastAsia="Times New Roman" w:hAnsi="Arial" w:cs="Arial"/>
          <w:sz w:val="21"/>
          <w:szCs w:val="21"/>
          <w:lang w:eastAsia="fr-FR"/>
        </w:rPr>
      </w:pPr>
      <w:r w:rsidRPr="00C53BEC">
        <w:rPr>
          <w:rFonts w:ascii="Arial" w:eastAsia="Times New Roman" w:hAnsi="Arial" w:cs="Arial"/>
          <w:sz w:val="21"/>
          <w:szCs w:val="21"/>
          <w:lang w:eastAsia="fr-FR"/>
        </w:rPr>
        <w:t>Publié le 18/11/2022</w:t>
      </w:r>
    </w:p>
    <w:p w14:paraId="40578B44" w14:textId="15F262F4" w:rsidR="00C53BEC" w:rsidRPr="00C53BEC" w:rsidRDefault="00C53BEC" w:rsidP="00C53BEC">
      <w:pPr>
        <w:spacing w:after="100" w:afterAutospacing="1"/>
        <w:jc w:val="right"/>
        <w:rPr>
          <w:rFonts w:ascii="Arial" w:eastAsia="Times New Roman" w:hAnsi="Arial" w:cs="Arial"/>
          <w:color w:val="8C8C8C"/>
          <w:lang w:eastAsia="fr-FR"/>
        </w:rPr>
      </w:pPr>
      <w:r w:rsidRPr="00C53BEC">
        <w:rPr>
          <w:rFonts w:ascii="Arial" w:eastAsia="Times New Roman" w:hAnsi="Arial" w:cs="Arial"/>
          <w:color w:val="8C8C8C"/>
          <w:lang w:eastAsia="fr-FR"/>
        </w:rPr>
        <w:t>©</w:t>
      </w:r>
      <w:proofErr w:type="spellStart"/>
      <w:r w:rsidRPr="00C53BEC">
        <w:rPr>
          <w:rFonts w:ascii="Arial" w:eastAsia="Times New Roman" w:hAnsi="Arial" w:cs="Arial"/>
          <w:color w:val="8C8C8C"/>
          <w:lang w:eastAsia="fr-FR"/>
        </w:rPr>
        <w:t>Gettyimages</w:t>
      </w:r>
      <w:proofErr w:type="spellEnd"/>
      <w:r w:rsidRPr="00C53BEC">
        <w:rPr>
          <w:rFonts w:ascii="Arial" w:eastAsia="Times New Roman" w:hAnsi="Arial" w:cs="Arial"/>
          <w:color w:val="8C8C8C"/>
          <w:lang w:eastAsia="fr-FR"/>
        </w:rPr>
        <w:br/>
      </w:r>
    </w:p>
    <w:p w14:paraId="192AD0A0" w14:textId="77777777" w:rsidR="00C53BEC" w:rsidRPr="00C53BEC" w:rsidRDefault="00C53BEC" w:rsidP="00C53BEC">
      <w:pPr>
        <w:spacing w:after="100" w:afterAutospacing="1" w:line="360" w:lineRule="auto"/>
        <w:jc w:val="both"/>
        <w:rPr>
          <w:rFonts w:ascii="Arial" w:eastAsia="Times New Roman" w:hAnsi="Arial" w:cs="Arial"/>
          <w:color w:val="2F5496" w:themeColor="accent1" w:themeShade="BF"/>
          <w:lang w:eastAsia="fr-FR"/>
        </w:rPr>
      </w:pPr>
      <w:r w:rsidRPr="00C53BEC">
        <w:rPr>
          <w:rFonts w:ascii="Arial" w:eastAsia="Times New Roman" w:hAnsi="Arial" w:cs="Arial"/>
          <w:color w:val="2F5496" w:themeColor="accent1" w:themeShade="BF"/>
          <w:lang w:eastAsia="fr-FR"/>
        </w:rPr>
        <w:t>Une société commercialise uniquement des mélanges de salades conditionnées dans la composition desquels entrent, non seulement des salades issues de sa </w:t>
      </w:r>
      <w:r w:rsidRPr="00C53BEC">
        <w:rPr>
          <w:rFonts w:ascii="Arial" w:eastAsia="Times New Roman" w:hAnsi="Arial" w:cs="Arial"/>
          <w:b/>
          <w:bCs/>
          <w:color w:val="2F5496" w:themeColor="accent1" w:themeShade="BF"/>
          <w:lang w:eastAsia="fr-FR"/>
        </w:rPr>
        <w:t>propre production,</w:t>
      </w:r>
      <w:r w:rsidRPr="00C53BEC">
        <w:rPr>
          <w:rFonts w:ascii="Arial" w:eastAsia="Times New Roman" w:hAnsi="Arial" w:cs="Arial"/>
          <w:color w:val="2F5496" w:themeColor="accent1" w:themeShade="BF"/>
          <w:lang w:eastAsia="fr-FR"/>
        </w:rPr>
        <w:t> mais aussi des salades qu’elle </w:t>
      </w:r>
      <w:r w:rsidRPr="00C53BEC">
        <w:rPr>
          <w:rFonts w:ascii="Arial" w:eastAsia="Times New Roman" w:hAnsi="Arial" w:cs="Arial"/>
          <w:b/>
          <w:bCs/>
          <w:color w:val="2F5496" w:themeColor="accent1" w:themeShade="BF"/>
          <w:lang w:eastAsia="fr-FR"/>
        </w:rPr>
        <w:t>achète auprès de tiers.</w:t>
      </w:r>
      <w:r w:rsidRPr="00C53BEC">
        <w:rPr>
          <w:rFonts w:ascii="Arial" w:eastAsia="Times New Roman" w:hAnsi="Arial" w:cs="Arial"/>
          <w:color w:val="2F5496" w:themeColor="accent1" w:themeShade="BF"/>
          <w:lang w:eastAsia="fr-FR"/>
        </w:rPr>
        <w:t> Ces achats pour revendre n'ont pas pour seul objet de compenser les variations saisonnières de sa production mais sont réalisés dans des proportions similaires tout au long des années d'imposition en litige.</w:t>
      </w:r>
    </w:p>
    <w:p w14:paraId="1A92562E" w14:textId="77777777" w:rsidR="00C53BEC" w:rsidRPr="00C53BEC" w:rsidRDefault="00C53BEC" w:rsidP="00C53BEC">
      <w:pPr>
        <w:spacing w:after="100" w:afterAutospacing="1" w:line="360" w:lineRule="auto"/>
        <w:jc w:val="both"/>
        <w:rPr>
          <w:rFonts w:ascii="Arial" w:eastAsia="Times New Roman" w:hAnsi="Arial" w:cs="Arial"/>
          <w:color w:val="2F5496" w:themeColor="accent1" w:themeShade="BF"/>
          <w:lang w:eastAsia="fr-FR"/>
        </w:rPr>
      </w:pPr>
      <w:r w:rsidRPr="00C53BEC">
        <w:rPr>
          <w:rFonts w:ascii="Arial" w:eastAsia="Times New Roman" w:hAnsi="Arial" w:cs="Arial"/>
          <w:color w:val="2F5496" w:themeColor="accent1" w:themeShade="BF"/>
          <w:lang w:eastAsia="fr-FR"/>
        </w:rPr>
        <w:lastRenderedPageBreak/>
        <w:t>Alors que la société indique elle-même que le prix d’acquisition des salades auprès de tiers représente environ 30 % de son chiffre d’affaires, son activité de vente ne se situe pas dans le </w:t>
      </w:r>
      <w:r w:rsidRPr="00C53BEC">
        <w:rPr>
          <w:rFonts w:ascii="Arial" w:eastAsia="Times New Roman" w:hAnsi="Arial" w:cs="Arial"/>
          <w:b/>
          <w:bCs/>
          <w:color w:val="2F5496" w:themeColor="accent1" w:themeShade="BF"/>
          <w:lang w:eastAsia="fr-FR"/>
        </w:rPr>
        <w:t>prolongement de l'acte de production</w:t>
      </w:r>
      <w:r w:rsidRPr="00C53BEC">
        <w:rPr>
          <w:rFonts w:ascii="Arial" w:eastAsia="Times New Roman" w:hAnsi="Arial" w:cs="Arial"/>
          <w:color w:val="2F5496" w:themeColor="accent1" w:themeShade="BF"/>
          <w:lang w:eastAsia="fr-FR"/>
        </w:rPr>
        <w:t> et ne revêt pas, par suite, un caractère agricole lui permettant d'être exonérée de CFE.</w:t>
      </w:r>
    </w:p>
    <w:p w14:paraId="7B00E432" w14:textId="77777777" w:rsidR="00C53BEC" w:rsidRPr="00C53BEC" w:rsidRDefault="00C53BEC" w:rsidP="00C53BEC">
      <w:pPr>
        <w:spacing w:before="100" w:beforeAutospacing="1" w:after="100" w:afterAutospacing="1" w:line="360" w:lineRule="auto"/>
        <w:outlineLvl w:val="2"/>
        <w:rPr>
          <w:rFonts w:ascii="Arial" w:eastAsia="Times New Roman" w:hAnsi="Arial" w:cs="Arial"/>
          <w:b/>
          <w:bCs/>
          <w:color w:val="2F5496" w:themeColor="accent1" w:themeShade="BF"/>
          <w:lang w:eastAsia="fr-FR"/>
        </w:rPr>
      </w:pPr>
      <w:r w:rsidRPr="00C53BEC">
        <w:rPr>
          <w:rFonts w:ascii="Arial" w:eastAsia="Times New Roman" w:hAnsi="Arial" w:cs="Arial"/>
          <w:b/>
          <w:bCs/>
          <w:color w:val="2F5496" w:themeColor="accent1" w:themeShade="BF"/>
          <w:lang w:eastAsia="fr-FR"/>
        </w:rPr>
        <w:t>A noter :</w:t>
      </w:r>
    </w:p>
    <w:p w14:paraId="6C3F48EC" w14:textId="77777777" w:rsidR="00C53BEC" w:rsidRPr="00C53BEC" w:rsidRDefault="00C53BEC" w:rsidP="00C53BEC">
      <w:pPr>
        <w:spacing w:after="100" w:afterAutospacing="1" w:line="360" w:lineRule="auto"/>
        <w:jc w:val="both"/>
        <w:rPr>
          <w:rFonts w:ascii="Arial" w:eastAsia="Times New Roman" w:hAnsi="Arial" w:cs="Arial"/>
          <w:color w:val="2F5496" w:themeColor="accent1" w:themeShade="BF"/>
          <w:lang w:eastAsia="fr-FR"/>
        </w:rPr>
      </w:pPr>
      <w:r w:rsidRPr="00C53BEC">
        <w:rPr>
          <w:rFonts w:ascii="Arial" w:eastAsia="Times New Roman" w:hAnsi="Arial" w:cs="Arial"/>
          <w:color w:val="2F5496" w:themeColor="accent1" w:themeShade="BF"/>
          <w:lang w:eastAsia="fr-FR"/>
        </w:rPr>
        <w:t>L’</w:t>
      </w:r>
      <w:r w:rsidRPr="00C53BEC">
        <w:rPr>
          <w:rFonts w:ascii="Arial" w:eastAsia="Times New Roman" w:hAnsi="Arial" w:cs="Arial"/>
          <w:b/>
          <w:bCs/>
          <w:color w:val="2F5496" w:themeColor="accent1" w:themeShade="BF"/>
          <w:lang w:eastAsia="fr-FR"/>
        </w:rPr>
        <w:t>achat auprès de tiers</w:t>
      </w:r>
      <w:r w:rsidRPr="00C53BEC">
        <w:rPr>
          <w:rFonts w:ascii="Arial" w:eastAsia="Times New Roman" w:hAnsi="Arial" w:cs="Arial"/>
          <w:color w:val="2F5496" w:themeColor="accent1" w:themeShade="BF"/>
          <w:lang w:eastAsia="fr-FR"/>
        </w:rPr>
        <w:t> ne fait obstacle à la qualification agricole de l’activité de l’entreprise que dans la mesure où cet achat entre dans son activité pour une part importante (CE 14-10-2015 n° 378329).</w:t>
      </w:r>
    </w:p>
    <w:p w14:paraId="1FCEF999" w14:textId="77777777" w:rsidR="00D873B0" w:rsidRPr="00C53BEC" w:rsidRDefault="00D873B0" w:rsidP="00C53BEC">
      <w:pPr>
        <w:rPr>
          <w:rFonts w:ascii="Arial" w:hAnsi="Arial" w:cs="Arial"/>
          <w:color w:val="2F5496" w:themeColor="accent1" w:themeShade="BF"/>
        </w:rPr>
      </w:pPr>
    </w:p>
    <w:sectPr w:rsidR="00D873B0" w:rsidRPr="00C53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EC"/>
    <w:rsid w:val="002412FD"/>
    <w:rsid w:val="002D7854"/>
    <w:rsid w:val="004E2BC2"/>
    <w:rsid w:val="00843C4F"/>
    <w:rsid w:val="00887AB6"/>
    <w:rsid w:val="00A533F0"/>
    <w:rsid w:val="00C53BEC"/>
    <w:rsid w:val="00D87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4517"/>
  <w15:chartTrackingRefBased/>
  <w15:docId w15:val="{E3807E34-96D2-3D4B-A533-44239768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53BE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53BE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3BE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53BE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53BEC"/>
    <w:rPr>
      <w:color w:val="0000FF"/>
      <w:u w:val="single"/>
    </w:rPr>
  </w:style>
  <w:style w:type="character" w:customStyle="1" w:styleId="apple-converted-space">
    <w:name w:val="apple-converted-space"/>
    <w:basedOn w:val="Policepardfaut"/>
    <w:rsid w:val="00C53BEC"/>
  </w:style>
  <w:style w:type="paragraph" w:styleId="NormalWeb">
    <w:name w:val="Normal (Web)"/>
    <w:basedOn w:val="Normal"/>
    <w:uiPriority w:val="99"/>
    <w:semiHidden/>
    <w:unhideWhenUsed/>
    <w:rsid w:val="00C53BE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C53BEC"/>
    <w:rPr>
      <w:b/>
      <w:bCs/>
    </w:rPr>
  </w:style>
  <w:style w:type="paragraph" w:customStyle="1" w:styleId="withaspectratiosource--3xatm">
    <w:name w:val="withaspectratio__source--3xatm"/>
    <w:basedOn w:val="Normal"/>
    <w:rsid w:val="00C53BE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465728">
      <w:bodyDiv w:val="1"/>
      <w:marLeft w:val="0"/>
      <w:marRight w:val="0"/>
      <w:marTop w:val="0"/>
      <w:marBottom w:val="0"/>
      <w:divBdr>
        <w:top w:val="none" w:sz="0" w:space="0" w:color="auto"/>
        <w:left w:val="none" w:sz="0" w:space="0" w:color="auto"/>
        <w:bottom w:val="none" w:sz="0" w:space="0" w:color="auto"/>
        <w:right w:val="none" w:sz="0" w:space="0" w:color="auto"/>
      </w:divBdr>
      <w:divsChild>
        <w:div w:id="1229028141">
          <w:marLeft w:val="0"/>
          <w:marRight w:val="0"/>
          <w:marTop w:val="0"/>
          <w:marBottom w:val="0"/>
          <w:divBdr>
            <w:top w:val="none" w:sz="0" w:space="0" w:color="auto"/>
            <w:left w:val="none" w:sz="0" w:space="0" w:color="auto"/>
            <w:bottom w:val="none" w:sz="0" w:space="0" w:color="auto"/>
            <w:right w:val="none" w:sz="0" w:space="0" w:color="auto"/>
          </w:divBdr>
        </w:div>
        <w:div w:id="27498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Dicoh</dc:creator>
  <cp:keywords/>
  <dc:description/>
  <cp:lastModifiedBy>Oumar Dicoh</cp:lastModifiedBy>
  <cp:revision>2</cp:revision>
  <dcterms:created xsi:type="dcterms:W3CDTF">2022-11-18T13:52:00Z</dcterms:created>
  <dcterms:modified xsi:type="dcterms:W3CDTF">2022-11-18T13:52:00Z</dcterms:modified>
</cp:coreProperties>
</file>